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8016" w14:textId="55B7903A" w:rsidR="00CD7379" w:rsidRPr="000C416C" w:rsidRDefault="00CD7379" w:rsidP="00CD7379">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6E84C6"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DC6B88">
        <w:rPr>
          <w:b/>
          <w:noProof/>
          <w:sz w:val="24"/>
          <w:lang w:val="en-US"/>
        </w:rPr>
        <w:t xml:space="preserve">2 </w:t>
      </w:r>
      <w:r w:rsidRPr="000C416C">
        <w:rPr>
          <w:b/>
          <w:noProof/>
          <w:sz w:val="24"/>
          <w:lang w:val="en-US"/>
        </w:rPr>
        <w:t>Meeting #1</w:t>
      </w:r>
      <w:r>
        <w:rPr>
          <w:b/>
          <w:noProof/>
          <w:sz w:val="24"/>
          <w:lang w:val="en-US"/>
        </w:rPr>
        <w:t>2</w:t>
      </w:r>
      <w:r w:rsidR="00FE27FC">
        <w:rPr>
          <w:b/>
          <w:noProof/>
          <w:sz w:val="24"/>
          <w:lang w:val="en-US"/>
        </w:rPr>
        <w:t>4</w:t>
      </w:r>
      <w:r>
        <w:rPr>
          <w:b/>
          <w:noProof/>
          <w:sz w:val="24"/>
          <w:lang w:val="en-US"/>
        </w:rPr>
        <w:tab/>
      </w:r>
      <w:r w:rsidR="00B4405B">
        <w:rPr>
          <w:b/>
          <w:noProof/>
          <w:sz w:val="24"/>
          <w:lang w:val="en-US"/>
        </w:rPr>
        <w:t xml:space="preserve">  </w:t>
      </w:r>
      <w:r w:rsidRPr="000C416C">
        <w:rPr>
          <w:b/>
          <w:noProof/>
          <w:sz w:val="24"/>
          <w:lang w:val="en-US"/>
        </w:rPr>
        <w:t>R</w:t>
      </w:r>
      <w:r>
        <w:rPr>
          <w:b/>
          <w:noProof/>
          <w:sz w:val="24"/>
          <w:lang w:val="en-US"/>
        </w:rPr>
        <w:t>2</w:t>
      </w:r>
      <w:r w:rsidRPr="000C416C">
        <w:rPr>
          <w:b/>
          <w:noProof/>
          <w:sz w:val="24"/>
          <w:lang w:val="en-US"/>
        </w:rPr>
        <w:t>-2</w:t>
      </w:r>
      <w:r w:rsidR="00354B60">
        <w:rPr>
          <w:b/>
          <w:noProof/>
          <w:sz w:val="24"/>
          <w:lang w:val="en-US"/>
        </w:rPr>
        <w:t>3</w:t>
      </w:r>
      <w:r w:rsidR="00536CE9">
        <w:rPr>
          <w:b/>
          <w:noProof/>
          <w:sz w:val="24"/>
          <w:lang w:val="en-US"/>
        </w:rPr>
        <w:t>12951</w:t>
      </w:r>
    </w:p>
    <w:p w14:paraId="015EA4F0" w14:textId="2CF5B9CA" w:rsidR="00CD7379" w:rsidRPr="005E0023" w:rsidRDefault="00FE27FC" w:rsidP="00CD7379">
      <w:pPr>
        <w:tabs>
          <w:tab w:val="left" w:pos="1985"/>
        </w:tabs>
        <w:rPr>
          <w:bCs/>
          <w:i/>
          <w:iCs/>
          <w:color w:val="2F5496"/>
          <w:sz w:val="24"/>
          <w:lang w:val="en-US"/>
        </w:rPr>
      </w:pPr>
      <w:r>
        <w:rPr>
          <w:rFonts w:ascii="Arial" w:eastAsia="MS Mincho" w:hAnsi="Arial"/>
          <w:b/>
          <w:noProof/>
          <w:sz w:val="24"/>
        </w:rPr>
        <w:t>Chicago</w:t>
      </w:r>
      <w:r w:rsidR="00E16E40">
        <w:rPr>
          <w:rFonts w:ascii="Arial" w:eastAsia="MS Mincho" w:hAnsi="Arial"/>
          <w:b/>
          <w:noProof/>
          <w:sz w:val="24"/>
        </w:rPr>
        <w:t xml:space="preserve">, </w:t>
      </w:r>
      <w:r>
        <w:rPr>
          <w:rFonts w:ascii="Arial" w:eastAsia="MS Mincho" w:hAnsi="Arial"/>
          <w:b/>
          <w:noProof/>
          <w:sz w:val="24"/>
        </w:rPr>
        <w:t>USA</w:t>
      </w:r>
      <w:r w:rsidR="00607FD8" w:rsidRPr="00607FD8">
        <w:rPr>
          <w:rFonts w:ascii="Arial" w:eastAsia="MS Mincho" w:hAnsi="Arial"/>
          <w:b/>
          <w:noProof/>
          <w:sz w:val="24"/>
        </w:rPr>
        <w:t xml:space="preserve">, </w:t>
      </w:r>
      <w:r>
        <w:rPr>
          <w:rFonts w:ascii="Arial" w:eastAsia="MS Mincho" w:hAnsi="Arial"/>
          <w:b/>
          <w:noProof/>
          <w:sz w:val="24"/>
        </w:rPr>
        <w:t>Nov</w:t>
      </w:r>
      <w:r w:rsidR="00607FD8" w:rsidRPr="00607FD8">
        <w:rPr>
          <w:rFonts w:ascii="Arial" w:eastAsia="MS Mincho" w:hAnsi="Arial"/>
          <w:b/>
          <w:noProof/>
          <w:sz w:val="24"/>
        </w:rPr>
        <w:t xml:space="preserve"> </w:t>
      </w:r>
      <w:r>
        <w:rPr>
          <w:rFonts w:ascii="Arial" w:eastAsia="MS Mincho" w:hAnsi="Arial"/>
          <w:b/>
          <w:noProof/>
          <w:sz w:val="24"/>
        </w:rPr>
        <w:t>13</w:t>
      </w:r>
      <w:r w:rsidR="00607FD8" w:rsidRPr="00607FD8">
        <w:rPr>
          <w:rFonts w:ascii="Arial" w:eastAsia="MS Mincho" w:hAnsi="Arial"/>
          <w:b/>
          <w:noProof/>
          <w:sz w:val="24"/>
        </w:rPr>
        <w:t>-</w:t>
      </w:r>
      <w:r w:rsidR="009A1A25">
        <w:rPr>
          <w:rFonts w:ascii="Arial" w:eastAsia="MS Mincho" w:hAnsi="Arial"/>
          <w:b/>
          <w:noProof/>
          <w:sz w:val="24"/>
        </w:rPr>
        <w:t>1</w:t>
      </w:r>
      <w:r>
        <w:rPr>
          <w:rFonts w:ascii="Arial" w:eastAsia="MS Mincho" w:hAnsi="Arial"/>
          <w:b/>
          <w:noProof/>
          <w:sz w:val="24"/>
        </w:rPr>
        <w:t>7</w:t>
      </w:r>
      <w:r w:rsidR="00607FD8" w:rsidRPr="00607FD8">
        <w:rPr>
          <w:rFonts w:ascii="Arial" w:eastAsia="MS Mincho" w:hAnsi="Arial"/>
          <w:b/>
          <w:noProof/>
          <w:sz w:val="24"/>
        </w:rPr>
        <w:t>, 2023</w:t>
      </w:r>
      <w:r w:rsidR="00CD7379">
        <w:rPr>
          <w:rFonts w:ascii="Arial" w:eastAsia="MS Mincho" w:hAnsi="Arial"/>
          <w:b/>
          <w:noProof/>
          <w:sz w:val="24"/>
        </w:rPr>
        <w:tab/>
        <w:t xml:space="preserve">     </w:t>
      </w:r>
    </w:p>
    <w:p w14:paraId="25DAFCD2" w14:textId="6E0CF181" w:rsidR="00262EDD" w:rsidRPr="005E0023" w:rsidRDefault="00CD7379" w:rsidP="00CD7379">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CEDFD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E0023">
        <w:rPr>
          <w:b/>
          <w:sz w:val="24"/>
          <w:lang w:val="en-US"/>
        </w:rPr>
        <w:t>Agenda item:</w:t>
      </w:r>
      <w:r w:rsidRPr="005E0023">
        <w:rPr>
          <w:sz w:val="24"/>
          <w:lang w:val="en-US"/>
        </w:rPr>
        <w:tab/>
        <w:t xml:space="preserve">    </w:t>
      </w:r>
      <w:r w:rsidR="00A45319" w:rsidRPr="005E0023">
        <w:rPr>
          <w:sz w:val="24"/>
          <w:lang w:val="en-US"/>
        </w:rPr>
        <w:t>7</w:t>
      </w:r>
      <w:r w:rsidRPr="005E0023">
        <w:rPr>
          <w:sz w:val="24"/>
          <w:lang w:val="en-US"/>
        </w:rPr>
        <w:t>.3.</w:t>
      </w:r>
      <w:r w:rsidR="00C76E5B" w:rsidRPr="005E0023">
        <w:rPr>
          <w:sz w:val="24"/>
          <w:lang w:val="en-US"/>
        </w:rPr>
        <w:t>2</w:t>
      </w:r>
      <w:r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219BF54"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F01BF">
        <w:rPr>
          <w:rFonts w:ascii="Arial" w:hAnsi="Arial"/>
          <w:sz w:val="24"/>
        </w:rPr>
        <w:t>Cell</w:t>
      </w:r>
      <w:r w:rsidR="00C76E5B">
        <w:rPr>
          <w:rFonts w:ascii="Arial" w:hAnsi="Arial"/>
          <w:sz w:val="24"/>
        </w:rPr>
        <w:t xml:space="preserve"> DTX/DRX </w:t>
      </w:r>
      <w:r w:rsidR="009F01BF">
        <w:rPr>
          <w:rFonts w:ascii="Arial" w:hAnsi="Arial"/>
          <w:sz w:val="24"/>
        </w:rPr>
        <w:t xml:space="preserve">NES </w:t>
      </w:r>
      <w:r w:rsidR="00536CE9">
        <w:rPr>
          <w:rFonts w:ascii="Arial" w:hAnsi="Arial"/>
          <w:sz w:val="24"/>
        </w:rPr>
        <w:t>Mechanism</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662D68A2" w:rsidR="00CD4C7B" w:rsidRPr="00320A6B" w:rsidRDefault="0056573F" w:rsidP="00CD4C7B">
      <w:pPr>
        <w:pStyle w:val="Heading1"/>
      </w:pPr>
      <w:r w:rsidRPr="00320A6B">
        <w:t>Introduction</w:t>
      </w:r>
    </w:p>
    <w:p w14:paraId="4E5EBADD" w14:textId="12967CAA" w:rsidR="00B65E42" w:rsidRDefault="00D80F5E" w:rsidP="006600CD">
      <w:pPr>
        <w:spacing w:after="0"/>
      </w:pPr>
      <w:r>
        <w:t xml:space="preserve">The </w:t>
      </w:r>
      <w:r w:rsidR="00BA33DF">
        <w:t>WID</w:t>
      </w:r>
      <w:r>
        <w:t xml:space="preserve"> on Rel-18 </w:t>
      </w:r>
      <w:r w:rsidR="00A46D15">
        <w:t>network energy saving</w:t>
      </w:r>
      <w:r>
        <w:t xml:space="preserve"> holds the following objective</w:t>
      </w:r>
      <w:r w:rsidR="0072678F">
        <w:t>s</w:t>
      </w:r>
      <w:r>
        <w:t xml:space="preserve"> [1]:</w:t>
      </w:r>
    </w:p>
    <w:tbl>
      <w:tblPr>
        <w:tblStyle w:val="TableGrid"/>
        <w:tblW w:w="0" w:type="auto"/>
        <w:tblLook w:val="04A0" w:firstRow="1" w:lastRow="0" w:firstColumn="1" w:lastColumn="0" w:noHBand="0" w:noVBand="1"/>
      </w:tblPr>
      <w:tblGrid>
        <w:gridCol w:w="9631"/>
      </w:tblGrid>
      <w:tr w:rsidR="002A703E" w14:paraId="0C4F69AD" w14:textId="77777777" w:rsidTr="002A703E">
        <w:tc>
          <w:tcPr>
            <w:tcW w:w="9631" w:type="dxa"/>
          </w:tcPr>
          <w:p w14:paraId="5D95BCA1" w14:textId="77777777" w:rsidR="002A703E" w:rsidRPr="00347FE8" w:rsidRDefault="002A703E" w:rsidP="00F0385D">
            <w:pPr>
              <w:numPr>
                <w:ilvl w:val="0"/>
                <w:numId w:val="3"/>
              </w:numPr>
              <w:overflowPunct w:val="0"/>
              <w:autoSpaceDE w:val="0"/>
              <w:autoSpaceDN w:val="0"/>
              <w:adjustRightInd w:val="0"/>
              <w:spacing w:after="0"/>
              <w:ind w:leftChars="100" w:left="62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547261D3" w14:textId="77777777" w:rsidR="002A703E" w:rsidRPr="00347FE8" w:rsidRDefault="002A703E" w:rsidP="00F0385D">
            <w:pPr>
              <w:numPr>
                <w:ilvl w:val="0"/>
                <w:numId w:val="4"/>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Note: No change for SSB transmission due to cell DTX/DRX.</w:t>
            </w:r>
          </w:p>
          <w:p w14:paraId="5DEDF150" w14:textId="26B8977A" w:rsidR="002A703E" w:rsidRPr="000B4398" w:rsidRDefault="002A703E" w:rsidP="00F0385D">
            <w:pPr>
              <w:numPr>
                <w:ilvl w:val="0"/>
                <w:numId w:val="4"/>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tc>
      </w:tr>
    </w:tbl>
    <w:p w14:paraId="665E14DE" w14:textId="00313E91" w:rsidR="008E5947" w:rsidRDefault="008E5947" w:rsidP="005B6108">
      <w:pPr>
        <w:spacing w:after="0"/>
      </w:pPr>
      <w:r>
        <w:t>Some progress has been made last meeting with the following agreed</w:t>
      </w:r>
      <w:r w:rsidR="00280F5B">
        <w:t>:</w:t>
      </w:r>
    </w:p>
    <w:p w14:paraId="72323286" w14:textId="77777777" w:rsidR="00FE27FC" w:rsidRDefault="00FE27FC" w:rsidP="005B6108">
      <w:pPr>
        <w:spacing w:after="0"/>
      </w:pPr>
    </w:p>
    <w:p w14:paraId="61AE114E" w14:textId="77777777" w:rsidR="00FE27FC" w:rsidRDefault="00FE27FC" w:rsidP="00FE27FC">
      <w:pPr>
        <w:pStyle w:val="EmailDiscussion2"/>
        <w:ind w:left="0" w:firstLine="0"/>
        <w:rPr>
          <w:b/>
          <w:bCs/>
          <w:lang w:eastAsia="sv-SE"/>
        </w:rPr>
      </w:pPr>
    </w:p>
    <w:tbl>
      <w:tblPr>
        <w:tblStyle w:val="TableGrid"/>
        <w:tblW w:w="0" w:type="auto"/>
        <w:tblLook w:val="04A0" w:firstRow="1" w:lastRow="0" w:firstColumn="1" w:lastColumn="0" w:noHBand="0" w:noVBand="1"/>
      </w:tblPr>
      <w:tblGrid>
        <w:gridCol w:w="9631"/>
      </w:tblGrid>
      <w:tr w:rsidR="00FE27FC" w14:paraId="28666552" w14:textId="77777777" w:rsidTr="00FD71F1">
        <w:tc>
          <w:tcPr>
            <w:tcW w:w="10194" w:type="dxa"/>
          </w:tcPr>
          <w:p w14:paraId="6DDABD9E" w14:textId="77777777" w:rsidR="00FE27FC" w:rsidRPr="00C540D5" w:rsidRDefault="00FE27FC" w:rsidP="00FD71F1">
            <w:pPr>
              <w:pStyle w:val="EmailDiscussion2"/>
              <w:ind w:left="0" w:firstLine="0"/>
              <w:rPr>
                <w:b/>
                <w:bCs/>
                <w:lang w:eastAsia="sv-SE"/>
              </w:rPr>
            </w:pPr>
            <w:r w:rsidRPr="00C540D5">
              <w:rPr>
                <w:b/>
                <w:bCs/>
                <w:lang w:eastAsia="sv-SE"/>
              </w:rPr>
              <w:t>Agreements</w:t>
            </w:r>
          </w:p>
          <w:p w14:paraId="7BA93FE5" w14:textId="77777777" w:rsidR="00FE27FC" w:rsidRDefault="00FE27FC" w:rsidP="0085097F">
            <w:pPr>
              <w:pStyle w:val="EmailDiscussion2"/>
              <w:numPr>
                <w:ilvl w:val="0"/>
                <w:numId w:val="13"/>
              </w:numPr>
              <w:rPr>
                <w:lang w:eastAsia="sv-SE"/>
              </w:rPr>
            </w:pPr>
            <w:r>
              <w:rPr>
                <w:lang w:eastAsia="sv-SE"/>
              </w:rPr>
              <w:t>Cell DTX/DRX configuration is provided per Serving Cell with the following restrictions:</w:t>
            </w:r>
          </w:p>
          <w:p w14:paraId="27052ACE" w14:textId="77777777" w:rsidR="00FE27FC" w:rsidRDefault="00FE27FC" w:rsidP="0085097F">
            <w:pPr>
              <w:pStyle w:val="EmailDiscussion2"/>
              <w:numPr>
                <w:ilvl w:val="0"/>
                <w:numId w:val="12"/>
              </w:numPr>
              <w:rPr>
                <w:lang w:eastAsia="sv-SE"/>
              </w:rPr>
            </w:pPr>
            <w:r>
              <w:rPr>
                <w:lang w:eastAsia="sv-SE"/>
              </w:rPr>
              <w:t xml:space="preserve">A maximum of two cell DTX/DRX patterns can be configured per MAC </w:t>
            </w:r>
            <w:proofErr w:type="gramStart"/>
            <w:r>
              <w:rPr>
                <w:lang w:eastAsia="sv-SE"/>
              </w:rPr>
              <w:t>entity</w:t>
            </w:r>
            <w:proofErr w:type="gramEnd"/>
            <w:r>
              <w:rPr>
                <w:lang w:eastAsia="sv-SE"/>
              </w:rPr>
              <w:t xml:space="preserve"> </w:t>
            </w:r>
          </w:p>
          <w:p w14:paraId="0C47E8FF" w14:textId="77777777" w:rsidR="00FE27FC" w:rsidRDefault="00FE27FC" w:rsidP="0085097F">
            <w:pPr>
              <w:pStyle w:val="EmailDiscussion2"/>
              <w:numPr>
                <w:ilvl w:val="0"/>
                <w:numId w:val="12"/>
              </w:numPr>
              <w:rPr>
                <w:lang w:eastAsia="sv-SE"/>
              </w:rPr>
            </w:pPr>
            <w:r>
              <w:rPr>
                <w:lang w:eastAsia="sv-SE"/>
              </w:rPr>
              <w:t xml:space="preserve">The two configured patterns are aligned, </w:t>
            </w:r>
          </w:p>
          <w:p w14:paraId="3DC22F0A" w14:textId="77777777" w:rsidR="00FE27FC" w:rsidRDefault="00FE27FC" w:rsidP="0085097F">
            <w:pPr>
              <w:pStyle w:val="EmailDiscussion2"/>
              <w:numPr>
                <w:ilvl w:val="1"/>
                <w:numId w:val="12"/>
              </w:numPr>
              <w:rPr>
                <w:lang w:eastAsia="sv-SE"/>
              </w:rPr>
            </w:pPr>
            <w:r>
              <w:rPr>
                <w:lang w:eastAsia="sv-SE"/>
              </w:rPr>
              <w:t>The start and slot offset are common for the two patterns.</w:t>
            </w:r>
          </w:p>
          <w:p w14:paraId="5D937982" w14:textId="77777777" w:rsidR="00FE27FC" w:rsidRDefault="00FE27FC" w:rsidP="0085097F">
            <w:pPr>
              <w:pStyle w:val="EmailDiscussion2"/>
              <w:numPr>
                <w:ilvl w:val="1"/>
                <w:numId w:val="12"/>
              </w:numPr>
              <w:rPr>
                <w:lang w:eastAsia="sv-SE"/>
              </w:rPr>
            </w:pPr>
            <w:r>
              <w:rPr>
                <w:lang w:eastAsia="sv-SE"/>
              </w:rPr>
              <w:t>one periodicity is an integer multiple of the other.</w:t>
            </w:r>
          </w:p>
          <w:p w14:paraId="7DA9591F" w14:textId="77777777" w:rsidR="00FE27FC" w:rsidRDefault="00FE27FC" w:rsidP="00FD71F1">
            <w:pPr>
              <w:pStyle w:val="EmailDiscussion2"/>
              <w:rPr>
                <w:lang w:eastAsia="sv-SE"/>
              </w:rPr>
            </w:pPr>
          </w:p>
          <w:p w14:paraId="64CD05DA" w14:textId="77777777" w:rsidR="00FE27FC" w:rsidRPr="00E61676" w:rsidRDefault="00FE27FC" w:rsidP="0085097F">
            <w:pPr>
              <w:pStyle w:val="ListParagraph"/>
              <w:numPr>
                <w:ilvl w:val="0"/>
                <w:numId w:val="13"/>
              </w:numPr>
              <w:spacing w:after="0"/>
              <w:contextualSpacing w:val="0"/>
            </w:pPr>
            <w:r w:rsidRPr="00891A9C">
              <w:t>Working assumption: UE triggers RACH upon determining that an emergency call is initiated during the cell DTX/DRX non active period. We rely on the UE implementation to determine whether an emergency call is initiated.  We will take time to check until next meeting</w:t>
            </w:r>
            <w:r>
              <w:t xml:space="preserve"> to </w:t>
            </w:r>
            <w:r w:rsidRPr="00891A9C">
              <w:t>confir</w:t>
            </w:r>
            <w:r>
              <w:t>m</w:t>
            </w:r>
            <w:r w:rsidRPr="00891A9C">
              <w:t xml:space="preserve"> the WA.</w:t>
            </w:r>
          </w:p>
        </w:tc>
      </w:tr>
    </w:tbl>
    <w:p w14:paraId="62B555EB" w14:textId="77777777" w:rsidR="00FE27FC" w:rsidRDefault="00FE27FC" w:rsidP="005B6108">
      <w:pPr>
        <w:spacing w:after="0"/>
      </w:pPr>
    </w:p>
    <w:p w14:paraId="08CCB0BF" w14:textId="77777777" w:rsidR="00FE27FC" w:rsidRDefault="00FE27FC" w:rsidP="00FE27FC">
      <w:pPr>
        <w:pStyle w:val="Doc-text2"/>
      </w:pPr>
    </w:p>
    <w:p w14:paraId="2FA55020" w14:textId="77777777" w:rsidR="00FE27FC" w:rsidRPr="001B5695" w:rsidRDefault="00FE27FC" w:rsidP="00FE27FC">
      <w:pPr>
        <w:pStyle w:val="Doc-text2"/>
        <w:pBdr>
          <w:top w:val="single" w:sz="4" w:space="1" w:color="auto"/>
          <w:left w:val="single" w:sz="4" w:space="31" w:color="auto"/>
          <w:bottom w:val="single" w:sz="4" w:space="1" w:color="auto"/>
          <w:right w:val="single" w:sz="4" w:space="4" w:color="auto"/>
        </w:pBdr>
        <w:rPr>
          <w:b/>
          <w:bCs/>
          <w:lang w:val="en-US"/>
        </w:rPr>
      </w:pPr>
      <w:r w:rsidRPr="001B5695">
        <w:rPr>
          <w:b/>
          <w:bCs/>
          <w:lang w:val="en-US"/>
        </w:rPr>
        <w:t>Agreement</w:t>
      </w:r>
      <w:r>
        <w:rPr>
          <w:b/>
          <w:bCs/>
          <w:lang w:val="en-US"/>
        </w:rPr>
        <w:t>s on CP open issues</w:t>
      </w:r>
      <w:r w:rsidRPr="001B5695">
        <w:rPr>
          <w:b/>
          <w:bCs/>
          <w:lang w:val="en-US"/>
        </w:rPr>
        <w:t>:</w:t>
      </w:r>
    </w:p>
    <w:p w14:paraId="73FFB310" w14:textId="77777777" w:rsidR="00FE27FC" w:rsidRPr="00C54ECA" w:rsidRDefault="00FE27FC" w:rsidP="0085097F">
      <w:pPr>
        <w:pStyle w:val="Doc-text2"/>
        <w:numPr>
          <w:ilvl w:val="0"/>
          <w:numId w:val="14"/>
        </w:numPr>
        <w:pBdr>
          <w:top w:val="single" w:sz="4" w:space="1" w:color="auto"/>
          <w:left w:val="single" w:sz="4" w:space="31" w:color="auto"/>
          <w:bottom w:val="single" w:sz="4" w:space="1" w:color="auto"/>
          <w:right w:val="single" w:sz="4" w:space="4" w:color="auto"/>
        </w:pBdr>
        <w:rPr>
          <w:lang w:val="en-US"/>
        </w:rPr>
      </w:pPr>
      <w:r w:rsidRPr="00DE5D10">
        <w:t xml:space="preserve">Introduce </w:t>
      </w:r>
      <w:r>
        <w:t xml:space="preserve">explicit activation/deactivation </w:t>
      </w:r>
      <w:r w:rsidRPr="00DE5D10">
        <w:t>in RRC once</w:t>
      </w:r>
      <w:r>
        <w:t xml:space="preserve"> DTX/DRX is</w:t>
      </w:r>
      <w:r w:rsidRPr="00DE5D10">
        <w:t xml:space="preserve"> configured</w:t>
      </w:r>
      <w:r>
        <w:t xml:space="preserve"> (</w:t>
      </w:r>
      <w:proofErr w:type="gramStart"/>
      <w:r>
        <w:t>i.e.</w:t>
      </w:r>
      <w:proofErr w:type="gramEnd"/>
      <w:r>
        <w:t xml:space="preserve"> not for dynamic activation/deactivation).   This reverses previous agreement on implicit activation.</w:t>
      </w:r>
    </w:p>
    <w:p w14:paraId="33856C0B" w14:textId="77777777" w:rsidR="00FE27FC" w:rsidRPr="00CD276B" w:rsidRDefault="00FE27FC" w:rsidP="0085097F">
      <w:pPr>
        <w:pStyle w:val="Doc-text2"/>
        <w:numPr>
          <w:ilvl w:val="0"/>
          <w:numId w:val="14"/>
        </w:numPr>
        <w:pBdr>
          <w:top w:val="single" w:sz="4" w:space="1" w:color="auto"/>
          <w:left w:val="single" w:sz="4" w:space="31" w:color="auto"/>
          <w:bottom w:val="single" w:sz="4" w:space="1" w:color="auto"/>
          <w:right w:val="single" w:sz="4" w:space="4" w:color="auto"/>
        </w:pBdr>
        <w:rPr>
          <w:lang w:val="en-US"/>
        </w:rPr>
      </w:pPr>
      <w:r w:rsidRPr="00E86A87">
        <w:t>Start offset</w:t>
      </w:r>
      <w:r>
        <w:t xml:space="preserve"> and slot offset</w:t>
      </w:r>
      <w:r w:rsidRPr="00E86A87">
        <w:t xml:space="preserve"> configuration is also common between Cell DTX and Cell DRX when both are </w:t>
      </w:r>
      <w:proofErr w:type="gramStart"/>
      <w:r w:rsidRPr="00E86A87">
        <w:t>configured</w:t>
      </w:r>
      <w:proofErr w:type="gramEnd"/>
      <w:r>
        <w:t xml:space="preserve"> </w:t>
      </w:r>
    </w:p>
    <w:p w14:paraId="208EA5F5" w14:textId="77777777" w:rsidR="00FE27FC" w:rsidRPr="006015ED" w:rsidRDefault="00FE27FC" w:rsidP="0085097F">
      <w:pPr>
        <w:pStyle w:val="Doc-text2"/>
        <w:numPr>
          <w:ilvl w:val="0"/>
          <w:numId w:val="14"/>
        </w:numPr>
        <w:pBdr>
          <w:top w:val="single" w:sz="4" w:space="1" w:color="auto"/>
          <w:left w:val="single" w:sz="4" w:space="31" w:color="auto"/>
          <w:bottom w:val="single" w:sz="4" w:space="1" w:color="auto"/>
          <w:right w:val="single" w:sz="4" w:space="4" w:color="auto"/>
        </w:pBdr>
        <w:rPr>
          <w:lang w:val="en-US"/>
        </w:rPr>
      </w:pPr>
      <w:r w:rsidRPr="001E4F4E">
        <w:t xml:space="preserve">Standalone cell DRX configuration is </w:t>
      </w:r>
      <w:r>
        <w:t xml:space="preserve">possible to </w:t>
      </w:r>
      <w:proofErr w:type="gramStart"/>
      <w:r>
        <w:t>configure</w:t>
      </w:r>
      <w:proofErr w:type="gramEnd"/>
      <w:r>
        <w:t xml:space="preserve"> </w:t>
      </w:r>
      <w:r w:rsidRPr="001E4F4E">
        <w:t xml:space="preserve"> </w:t>
      </w:r>
    </w:p>
    <w:p w14:paraId="1B81782E" w14:textId="77777777" w:rsidR="00FE27FC" w:rsidRPr="009A6686" w:rsidRDefault="00FE27FC" w:rsidP="0085097F">
      <w:pPr>
        <w:pStyle w:val="Doc-text2"/>
        <w:numPr>
          <w:ilvl w:val="0"/>
          <w:numId w:val="14"/>
        </w:numPr>
        <w:pBdr>
          <w:top w:val="single" w:sz="4" w:space="1" w:color="auto"/>
          <w:left w:val="single" w:sz="4" w:space="31" w:color="auto"/>
          <w:bottom w:val="single" w:sz="4" w:space="1" w:color="auto"/>
          <w:right w:val="single" w:sz="4" w:space="4" w:color="auto"/>
        </w:pBdr>
        <w:rPr>
          <w:lang w:val="en-US"/>
        </w:rPr>
      </w:pPr>
      <w:r>
        <w:t>M</w:t>
      </w:r>
      <w:r w:rsidRPr="00FC3D44">
        <w:t xml:space="preserve">ultiple configurations of Cell DTX/DRX </w:t>
      </w:r>
      <w:r>
        <w:t xml:space="preserve">are not pursued in Rel-18 for serving cell.  </w:t>
      </w:r>
    </w:p>
    <w:p w14:paraId="3400410F" w14:textId="77777777" w:rsidR="00FE27FC" w:rsidRDefault="00FE27FC" w:rsidP="005B6108">
      <w:pPr>
        <w:spacing w:after="0"/>
      </w:pPr>
    </w:p>
    <w:p w14:paraId="69519D2C" w14:textId="77777777" w:rsidR="00FE27FC" w:rsidRPr="00BE19AD" w:rsidRDefault="00FE27FC" w:rsidP="00FE27FC">
      <w:pPr>
        <w:rPr>
          <w:b/>
          <w:bCs/>
          <w:lang w:val="en-US" w:eastAsia="zh-CN"/>
        </w:rPr>
      </w:pPr>
    </w:p>
    <w:p w14:paraId="7B079738" w14:textId="77777777" w:rsidR="00FE27FC" w:rsidRPr="00E6247A" w:rsidRDefault="00FE27FC" w:rsidP="00FE27FC">
      <w:pPr>
        <w:pStyle w:val="Doc-text2"/>
        <w:pBdr>
          <w:top w:val="single" w:sz="4" w:space="1" w:color="auto"/>
          <w:left w:val="single" w:sz="4" w:space="4" w:color="auto"/>
          <w:bottom w:val="single" w:sz="4" w:space="1" w:color="auto"/>
          <w:right w:val="single" w:sz="4" w:space="4" w:color="auto"/>
        </w:pBdr>
        <w:rPr>
          <w:b/>
          <w:bCs/>
          <w:lang w:eastAsia="zh-CN"/>
        </w:rPr>
      </w:pPr>
      <w:r w:rsidRPr="00E6247A">
        <w:rPr>
          <w:b/>
          <w:bCs/>
          <w:lang w:eastAsia="zh-CN"/>
        </w:rPr>
        <w:t>Agreements</w:t>
      </w:r>
      <w:r>
        <w:rPr>
          <w:b/>
          <w:bCs/>
          <w:lang w:eastAsia="zh-CN"/>
        </w:rPr>
        <w:t xml:space="preserve"> for MAC open issues</w:t>
      </w:r>
      <w:r w:rsidRPr="00E6247A">
        <w:rPr>
          <w:b/>
          <w:bCs/>
          <w:lang w:eastAsia="zh-CN"/>
        </w:rPr>
        <w:t>:</w:t>
      </w:r>
    </w:p>
    <w:p w14:paraId="6D41314F" w14:textId="77777777" w:rsidR="00FE27FC" w:rsidRDefault="00FE27FC" w:rsidP="0085097F">
      <w:pPr>
        <w:pStyle w:val="Doc-text2"/>
        <w:numPr>
          <w:ilvl w:val="0"/>
          <w:numId w:val="15"/>
        </w:numPr>
        <w:pBdr>
          <w:top w:val="single" w:sz="4" w:space="1" w:color="auto"/>
          <w:left w:val="single" w:sz="4" w:space="4" w:color="auto"/>
          <w:bottom w:val="single" w:sz="4" w:space="1" w:color="auto"/>
          <w:right w:val="single" w:sz="4" w:space="4" w:color="auto"/>
        </w:pBdr>
        <w:rPr>
          <w:lang w:eastAsia="zh-CN"/>
        </w:rPr>
      </w:pPr>
      <w:r>
        <w:t xml:space="preserve">The case that </w:t>
      </w:r>
      <w:proofErr w:type="gramStart"/>
      <w:r w:rsidRPr="00E83E6F">
        <w:t>Cell</w:t>
      </w:r>
      <w:proofErr w:type="gramEnd"/>
      <w:r w:rsidRPr="00E83E6F">
        <w:t xml:space="preserve"> DRX activation </w:t>
      </w:r>
      <w:r>
        <w:t xml:space="preserve">is </w:t>
      </w:r>
      <w:r w:rsidRPr="00E83E6F">
        <w:t>received between delivering a configured grant to the HARQ entity and HARQ processing for the CGO</w:t>
      </w:r>
      <w:r>
        <w:t xml:space="preserve"> will not be addressed by RAN2, as it is not valid for the MAC model.  </w:t>
      </w:r>
    </w:p>
    <w:p w14:paraId="091798E7" w14:textId="77777777" w:rsidR="00FE27FC" w:rsidRDefault="00FE27FC" w:rsidP="005B6108">
      <w:pPr>
        <w:spacing w:after="0"/>
      </w:pPr>
    </w:p>
    <w:p w14:paraId="55473A20" w14:textId="77777777" w:rsidR="00280F5B" w:rsidRDefault="00280F5B" w:rsidP="005B6108">
      <w:pPr>
        <w:spacing w:after="0"/>
      </w:pPr>
    </w:p>
    <w:p w14:paraId="37512A18" w14:textId="4E4470F1" w:rsidR="008E5947" w:rsidRDefault="00D770E3" w:rsidP="005B6108">
      <w:pPr>
        <w:spacing w:after="0"/>
      </w:pPr>
      <w:r>
        <w:t>The 38.331 rapporteur summarized the open issues in Cell DTX/DRX as follows</w:t>
      </w:r>
      <w:r w:rsidR="001237E9">
        <w:t xml:space="preserve"> [3]</w:t>
      </w:r>
      <w:r>
        <w:t xml:space="preserve">: </w:t>
      </w:r>
    </w:p>
    <w:tbl>
      <w:tblPr>
        <w:tblStyle w:val="TableGrid"/>
        <w:tblW w:w="0" w:type="auto"/>
        <w:tblLook w:val="04A0" w:firstRow="1" w:lastRow="0" w:firstColumn="1" w:lastColumn="0" w:noHBand="0" w:noVBand="1"/>
      </w:tblPr>
      <w:tblGrid>
        <w:gridCol w:w="9631"/>
      </w:tblGrid>
      <w:tr w:rsidR="00D770E3" w14:paraId="10AD71F7" w14:textId="77777777" w:rsidTr="00D770E3">
        <w:tc>
          <w:tcPr>
            <w:tcW w:w="9631" w:type="dxa"/>
          </w:tcPr>
          <w:p w14:paraId="68739521" w14:textId="77777777" w:rsidR="002166BB" w:rsidRDefault="002166BB" w:rsidP="002166BB">
            <w:pPr>
              <w:rPr>
                <w:rFonts w:ascii="Arial" w:eastAsia="DengXian" w:hAnsi="Arial" w:cs="Arial"/>
                <w:b/>
                <w:lang w:eastAsia="zh-CN"/>
              </w:rPr>
            </w:pPr>
            <w:r w:rsidRPr="00021FD6">
              <w:rPr>
                <w:rFonts w:ascii="Arial" w:eastAsia="DengXian" w:hAnsi="Arial" w:cs="Arial"/>
                <w:b/>
                <w:u w:val="single"/>
                <w:lang w:eastAsia="zh-CN"/>
              </w:rPr>
              <w:t>Issue 1-1</w:t>
            </w:r>
            <w:r>
              <w:rPr>
                <w:rFonts w:ascii="Arial" w:eastAsia="DengXian" w:hAnsi="Arial" w:cs="Arial"/>
                <w:b/>
                <w:u w:val="single"/>
                <w:lang w:eastAsia="zh-CN"/>
              </w:rPr>
              <w:t>3</w:t>
            </w:r>
            <w:r w:rsidRPr="00483880">
              <w:rPr>
                <w:rFonts w:ascii="Arial" w:eastAsia="DengXian" w:hAnsi="Arial" w:cs="Arial"/>
                <w:b/>
                <w:lang w:eastAsia="zh-CN"/>
              </w:rPr>
              <w:t xml:space="preserve">: </w:t>
            </w:r>
            <w:r>
              <w:rPr>
                <w:rFonts w:ascii="Arial" w:eastAsia="DengXian" w:hAnsi="Arial" w:cs="Arial"/>
                <w:b/>
                <w:lang w:eastAsia="zh-CN"/>
              </w:rPr>
              <w:t>Should cell DRX be added to the agreement: “</w:t>
            </w:r>
            <w:r w:rsidRPr="00483880">
              <w:rPr>
                <w:rFonts w:ascii="Arial" w:eastAsia="DengXian" w:hAnsi="Arial" w:cs="Arial"/>
                <w:b/>
                <w:lang w:eastAsia="zh-CN"/>
              </w:rPr>
              <w:t>We focus on the case where DTX in RRC can only be configured when C-DRX is configured</w:t>
            </w:r>
            <w:r>
              <w:rPr>
                <w:rFonts w:ascii="Arial" w:eastAsia="DengXian" w:hAnsi="Arial" w:cs="Arial"/>
                <w:b/>
                <w:lang w:eastAsia="zh-CN"/>
              </w:rPr>
              <w:t>”.</w:t>
            </w:r>
          </w:p>
          <w:p w14:paraId="352D06E7" w14:textId="77777777" w:rsidR="002166BB" w:rsidRDefault="002166BB" w:rsidP="002166BB">
            <w:pPr>
              <w:rPr>
                <w:rFonts w:ascii="Arial" w:eastAsia="DengXian" w:hAnsi="Arial" w:cs="Arial"/>
                <w:b/>
                <w:lang w:eastAsia="zh-CN"/>
              </w:rPr>
            </w:pPr>
            <w:r w:rsidRPr="00021FD6">
              <w:rPr>
                <w:rFonts w:ascii="Arial" w:eastAsia="DengXian" w:hAnsi="Arial" w:cs="Arial"/>
                <w:b/>
                <w:u w:val="single"/>
                <w:lang w:eastAsia="zh-CN"/>
              </w:rPr>
              <w:t>Issue 1-1</w:t>
            </w:r>
            <w:r>
              <w:rPr>
                <w:rFonts w:ascii="Arial" w:eastAsia="DengXian" w:hAnsi="Arial" w:cs="Arial"/>
                <w:b/>
                <w:u w:val="single"/>
                <w:lang w:eastAsia="zh-CN"/>
              </w:rPr>
              <w:t>4</w:t>
            </w:r>
            <w:r w:rsidRPr="00483880">
              <w:rPr>
                <w:rFonts w:ascii="Arial" w:eastAsia="DengXian" w:hAnsi="Arial" w:cs="Arial"/>
                <w:b/>
                <w:lang w:eastAsia="zh-CN"/>
              </w:rPr>
              <w:t xml:space="preserve">: </w:t>
            </w:r>
            <w:r>
              <w:rPr>
                <w:rFonts w:ascii="Arial" w:eastAsia="DengXian" w:hAnsi="Arial" w:cs="Arial"/>
                <w:b/>
                <w:lang w:eastAsia="zh-CN"/>
              </w:rPr>
              <w:t xml:space="preserve">For cell barring </w:t>
            </w:r>
            <w:proofErr w:type="gramStart"/>
            <w:r>
              <w:rPr>
                <w:rFonts w:ascii="Arial" w:eastAsia="DengXian" w:hAnsi="Arial" w:cs="Arial"/>
                <w:b/>
                <w:lang w:eastAsia="zh-CN"/>
              </w:rPr>
              <w:t>resolve</w:t>
            </w:r>
            <w:proofErr w:type="gramEnd"/>
            <w:r>
              <w:rPr>
                <w:rFonts w:ascii="Arial" w:eastAsia="DengXian" w:hAnsi="Arial" w:cs="Arial"/>
                <w:b/>
                <w:lang w:eastAsia="zh-CN"/>
              </w:rPr>
              <w:t xml:space="preserve"> </w:t>
            </w:r>
            <w:r w:rsidRPr="00483880">
              <w:rPr>
                <w:rFonts w:ascii="Arial" w:eastAsia="DengXian" w:hAnsi="Arial" w:cs="Arial"/>
                <w:b/>
                <w:lang w:eastAsia="zh-CN"/>
              </w:rPr>
              <w:t xml:space="preserve">FFS </w:t>
            </w:r>
            <w:r>
              <w:rPr>
                <w:rFonts w:ascii="Arial" w:eastAsia="DengXian" w:hAnsi="Arial" w:cs="Arial"/>
                <w:b/>
                <w:lang w:eastAsia="zh-CN"/>
              </w:rPr>
              <w:t>“</w:t>
            </w:r>
            <w:r w:rsidRPr="00483880">
              <w:rPr>
                <w:rFonts w:ascii="Arial" w:eastAsia="DengXian" w:hAnsi="Arial" w:cs="Arial"/>
                <w:b/>
                <w:lang w:eastAsia="zh-CN"/>
              </w:rPr>
              <w:t>if other NES features need to be included only if legacy impact is found</w:t>
            </w:r>
            <w:r>
              <w:rPr>
                <w:rFonts w:ascii="Arial" w:eastAsia="DengXian" w:hAnsi="Arial" w:cs="Arial"/>
                <w:b/>
                <w:lang w:eastAsia="zh-CN"/>
              </w:rPr>
              <w:t xml:space="preserve">”. </w:t>
            </w:r>
          </w:p>
          <w:p w14:paraId="1B6EA5AF" w14:textId="77777777" w:rsidR="002166BB" w:rsidRDefault="002166BB" w:rsidP="002166BB">
            <w:pPr>
              <w:pStyle w:val="BodyText"/>
              <w:keepNext/>
            </w:pPr>
            <w:r>
              <w:lastRenderedPageBreak/>
              <w:t xml:space="preserve">Rapporteur recommendation: </w:t>
            </w:r>
            <w:r w:rsidRPr="00483880">
              <w:t>Confirm no other features have legacy impact</w:t>
            </w:r>
            <w:r>
              <w:t>.</w:t>
            </w:r>
          </w:p>
          <w:p w14:paraId="7ED6F546" w14:textId="77777777" w:rsidR="002166BB" w:rsidRDefault="002166BB" w:rsidP="002166BB">
            <w:pPr>
              <w:rPr>
                <w:rFonts w:ascii="Arial" w:eastAsia="DengXian" w:hAnsi="Arial" w:cs="Arial"/>
                <w:b/>
                <w:lang w:eastAsia="zh-CN"/>
              </w:rPr>
            </w:pPr>
            <w:r w:rsidRPr="00021FD6">
              <w:rPr>
                <w:rFonts w:ascii="Arial" w:eastAsia="DengXian" w:hAnsi="Arial" w:cs="Arial"/>
                <w:b/>
                <w:u w:val="single"/>
                <w:lang w:eastAsia="zh-CN"/>
              </w:rPr>
              <w:t>Issue 1-1</w:t>
            </w:r>
            <w:r>
              <w:rPr>
                <w:rFonts w:ascii="Arial" w:eastAsia="DengXian" w:hAnsi="Arial" w:cs="Arial"/>
                <w:b/>
                <w:u w:val="single"/>
                <w:lang w:eastAsia="zh-CN"/>
              </w:rPr>
              <w:t>5</w:t>
            </w:r>
            <w:r w:rsidRPr="00483880">
              <w:rPr>
                <w:rFonts w:ascii="Arial" w:eastAsia="DengXian" w:hAnsi="Arial" w:cs="Arial"/>
                <w:b/>
                <w:lang w:eastAsia="zh-CN"/>
              </w:rPr>
              <w:t xml:space="preserve">: </w:t>
            </w:r>
            <w:r>
              <w:rPr>
                <w:rFonts w:ascii="Arial" w:eastAsia="DengXian" w:hAnsi="Arial" w:cs="Arial"/>
                <w:b/>
                <w:lang w:eastAsia="zh-CN"/>
              </w:rPr>
              <w:t xml:space="preserve">For cell barring </w:t>
            </w:r>
            <w:proofErr w:type="gramStart"/>
            <w:r>
              <w:rPr>
                <w:rFonts w:ascii="Arial" w:eastAsia="DengXian" w:hAnsi="Arial" w:cs="Arial"/>
                <w:b/>
                <w:lang w:eastAsia="zh-CN"/>
              </w:rPr>
              <w:t>resolve</w:t>
            </w:r>
            <w:proofErr w:type="gramEnd"/>
            <w:r>
              <w:rPr>
                <w:rFonts w:ascii="Arial" w:eastAsia="DengXian" w:hAnsi="Arial" w:cs="Arial"/>
                <w:b/>
                <w:lang w:eastAsia="zh-CN"/>
              </w:rPr>
              <w:t xml:space="preserve"> </w:t>
            </w:r>
            <w:r w:rsidRPr="00483880">
              <w:rPr>
                <w:rFonts w:ascii="Arial" w:eastAsia="DengXian" w:hAnsi="Arial" w:cs="Arial"/>
                <w:b/>
                <w:lang w:eastAsia="zh-CN"/>
              </w:rPr>
              <w:t xml:space="preserve">FFS </w:t>
            </w:r>
            <w:r>
              <w:rPr>
                <w:rFonts w:ascii="Arial" w:eastAsia="DengXian" w:hAnsi="Arial" w:cs="Arial"/>
                <w:b/>
                <w:lang w:eastAsia="zh-CN"/>
              </w:rPr>
              <w:t>“</w:t>
            </w:r>
            <w:r w:rsidRPr="00483880">
              <w:rPr>
                <w:rFonts w:ascii="Arial" w:eastAsia="DengXian" w:hAnsi="Arial" w:cs="Arial"/>
                <w:b/>
                <w:lang w:eastAsia="zh-CN"/>
              </w:rPr>
              <w:t>how we capture it in the CR in terms of wording</w:t>
            </w:r>
            <w:r>
              <w:rPr>
                <w:rFonts w:ascii="Arial" w:eastAsia="DengXian" w:hAnsi="Arial" w:cs="Arial"/>
                <w:b/>
                <w:lang w:eastAsia="zh-CN"/>
              </w:rPr>
              <w:t xml:space="preserve">”. </w:t>
            </w:r>
          </w:p>
          <w:p w14:paraId="178C824E" w14:textId="77777777" w:rsidR="002166BB" w:rsidRDefault="002166BB" w:rsidP="002166BB">
            <w:pPr>
              <w:pStyle w:val="BodyText"/>
              <w:keepNext/>
            </w:pPr>
            <w:r>
              <w:t xml:space="preserve">Rapporteur recommendation: </w:t>
            </w:r>
            <w:r w:rsidRPr="00483880">
              <w:t>Refer to UE cap</w:t>
            </w:r>
            <w:r>
              <w:t>ability</w:t>
            </w:r>
            <w:r w:rsidRPr="00483880">
              <w:t xml:space="preserve"> of cell DTX/DRX</w:t>
            </w:r>
            <w:r>
              <w:t>.</w:t>
            </w:r>
          </w:p>
          <w:p w14:paraId="1091CDB6" w14:textId="77777777" w:rsidR="002166BB" w:rsidRPr="00534630" w:rsidRDefault="002166BB" w:rsidP="002166BB">
            <w:pPr>
              <w:rPr>
                <w:rFonts w:ascii="Arial" w:eastAsia="DengXian" w:hAnsi="Arial" w:cs="Arial"/>
                <w:b/>
                <w:lang w:eastAsia="zh-CN"/>
              </w:rPr>
            </w:pPr>
            <w:r>
              <w:rPr>
                <w:rFonts w:ascii="Arial" w:eastAsia="DengXian" w:hAnsi="Arial" w:cs="Arial"/>
                <w:b/>
                <w:u w:val="single"/>
                <w:lang w:eastAsia="zh-CN"/>
              </w:rPr>
              <w:t>Issue 5-1:</w:t>
            </w:r>
            <w:r w:rsidRPr="00534630">
              <w:rPr>
                <w:rFonts w:ascii="Arial" w:eastAsia="DengXian" w:hAnsi="Arial" w:cs="Arial"/>
                <w:b/>
                <w:lang w:eastAsia="zh-CN"/>
              </w:rPr>
              <w:t xml:space="preserve"> Implementation of </w:t>
            </w:r>
            <w:r>
              <w:rPr>
                <w:rFonts w:ascii="Arial" w:eastAsia="DengXian" w:hAnsi="Arial" w:cs="Arial"/>
                <w:b/>
                <w:lang w:eastAsia="zh-CN"/>
              </w:rPr>
              <w:t xml:space="preserve">the </w:t>
            </w:r>
            <w:r w:rsidRPr="00534630">
              <w:rPr>
                <w:rFonts w:ascii="Arial" w:eastAsia="DengXian" w:hAnsi="Arial" w:cs="Arial"/>
                <w:b/>
                <w:lang w:eastAsia="zh-CN"/>
              </w:rPr>
              <w:t>RAN1 parameter list.</w:t>
            </w:r>
          </w:p>
          <w:p w14:paraId="461437CC" w14:textId="22E93A70" w:rsidR="00D770E3" w:rsidRDefault="00D770E3" w:rsidP="00D770E3">
            <w:pPr>
              <w:spacing w:after="0"/>
            </w:pPr>
          </w:p>
        </w:tc>
      </w:tr>
    </w:tbl>
    <w:p w14:paraId="40A0B562" w14:textId="77777777" w:rsidR="00D770E3" w:rsidRDefault="00D770E3" w:rsidP="005B6108">
      <w:pPr>
        <w:spacing w:after="0"/>
      </w:pPr>
    </w:p>
    <w:p w14:paraId="4C737923" w14:textId="77777777" w:rsidR="00D770E3" w:rsidRDefault="00D770E3" w:rsidP="005B6108">
      <w:pPr>
        <w:spacing w:after="0"/>
      </w:pPr>
    </w:p>
    <w:p w14:paraId="2DE216A8" w14:textId="0C765616" w:rsidR="00D770E3" w:rsidRDefault="00D770E3" w:rsidP="005B6108">
      <w:pPr>
        <w:spacing w:after="0"/>
      </w:pPr>
      <w:r>
        <w:t>The 38.321 rapporteur summarized the open issues in cell DTX/DRX as follows</w:t>
      </w:r>
      <w:r w:rsidR="001237E9">
        <w:t xml:space="preserve"> [4]</w:t>
      </w:r>
      <w:r>
        <w:t>:</w:t>
      </w:r>
    </w:p>
    <w:p w14:paraId="01350F48" w14:textId="77777777" w:rsidR="00D770E3" w:rsidRDefault="00D770E3" w:rsidP="005B6108">
      <w:pPr>
        <w:spacing w:after="0"/>
      </w:pPr>
    </w:p>
    <w:tbl>
      <w:tblPr>
        <w:tblStyle w:val="TableGrid"/>
        <w:tblW w:w="0" w:type="auto"/>
        <w:tblLook w:val="04A0" w:firstRow="1" w:lastRow="0" w:firstColumn="1" w:lastColumn="0" w:noHBand="0" w:noVBand="1"/>
      </w:tblPr>
      <w:tblGrid>
        <w:gridCol w:w="9631"/>
      </w:tblGrid>
      <w:tr w:rsidR="00B432CB" w14:paraId="7C306607" w14:textId="77777777" w:rsidTr="00B432CB">
        <w:tc>
          <w:tcPr>
            <w:tcW w:w="9631" w:type="dxa"/>
          </w:tcPr>
          <w:p w14:paraId="4EB653DE" w14:textId="77777777" w:rsidR="00B432CB" w:rsidRDefault="00B432CB" w:rsidP="00B432CB">
            <w:pPr>
              <w:rPr>
                <w:lang w:val="en-US"/>
              </w:rPr>
            </w:pPr>
          </w:p>
          <w:p w14:paraId="064CFB24" w14:textId="77777777" w:rsidR="009F596A" w:rsidRDefault="009F596A" w:rsidP="009F596A">
            <w:pPr>
              <w:overflowPunct w:val="0"/>
              <w:autoSpaceDE w:val="0"/>
              <w:autoSpaceDN w:val="0"/>
              <w:jc w:val="both"/>
              <w:rPr>
                <w:rFonts w:ascii="Arial" w:hAnsi="Arial" w:cs="Arial"/>
                <w:lang w:eastAsia="zh-CN"/>
              </w:rPr>
            </w:pPr>
            <w:r>
              <w:rPr>
                <w:rFonts w:ascii="Arial" w:hAnsi="Arial" w:cs="Arial"/>
                <w:b/>
                <w:bCs/>
                <w:lang w:eastAsia="zh-CN"/>
              </w:rPr>
              <w:t>Issue 1:</w:t>
            </w:r>
            <w:r>
              <w:rPr>
                <w:rFonts w:ascii="Arial" w:hAnsi="Arial" w:cs="Arial"/>
                <w:lang w:eastAsia="zh-CN"/>
              </w:rPr>
              <w:t xml:space="preserve"> whether to confirm the WA: </w:t>
            </w:r>
          </w:p>
          <w:p w14:paraId="524B53D7" w14:textId="77777777" w:rsidR="009F596A" w:rsidRDefault="009F596A" w:rsidP="0085097F">
            <w:pPr>
              <w:numPr>
                <w:ilvl w:val="0"/>
                <w:numId w:val="16"/>
              </w:numPr>
              <w:overflowPunct w:val="0"/>
              <w:autoSpaceDE w:val="0"/>
              <w:autoSpaceDN w:val="0"/>
              <w:spacing w:after="120"/>
              <w:jc w:val="both"/>
              <w:rPr>
                <w:rFonts w:ascii="Arial" w:eastAsia="Times New Roman" w:hAnsi="Arial" w:cs="Arial"/>
                <w:lang w:eastAsia="zh-CN"/>
              </w:rPr>
            </w:pPr>
            <w:r>
              <w:rPr>
                <w:rFonts w:ascii="Arial" w:eastAsia="Times New Roman" w:hAnsi="Arial" w:cs="Arial"/>
                <w:lang w:eastAsia="zh-CN"/>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2EDC4F0D" w14:textId="77777777" w:rsidR="009F596A" w:rsidRDefault="009F596A" w:rsidP="0085097F">
            <w:pPr>
              <w:numPr>
                <w:ilvl w:val="0"/>
                <w:numId w:val="17"/>
              </w:numPr>
              <w:overflowPunct w:val="0"/>
              <w:autoSpaceDE w:val="0"/>
              <w:autoSpaceDN w:val="0"/>
              <w:spacing w:after="120"/>
              <w:jc w:val="both"/>
              <w:rPr>
                <w:rFonts w:ascii="Arial" w:eastAsia="Times New Roman" w:hAnsi="Arial" w:cs="Arial"/>
                <w:lang w:eastAsia="zh-CN"/>
              </w:rPr>
            </w:pPr>
            <w:r>
              <w:rPr>
                <w:rFonts w:ascii="Arial" w:eastAsia="Times New Roman" w:hAnsi="Arial" w:cs="Arial"/>
                <w:lang w:eastAsia="zh-CN"/>
              </w:rPr>
              <w:t>if the WA is confirmed, how to capture that an emergency call is initiated in MAC specifications (for the purpose of triggering RACH)</w:t>
            </w:r>
          </w:p>
          <w:p w14:paraId="54D1676F" w14:textId="77777777" w:rsidR="009F596A" w:rsidRDefault="009F596A" w:rsidP="009F596A">
            <w:pPr>
              <w:overflowPunct w:val="0"/>
              <w:autoSpaceDE w:val="0"/>
              <w:autoSpaceDN w:val="0"/>
              <w:ind w:left="720"/>
              <w:jc w:val="both"/>
              <w:rPr>
                <w:rFonts w:ascii="Arial" w:eastAsiaTheme="minorHAnsi" w:hAnsi="Arial" w:cs="Arial"/>
                <w:lang w:eastAsia="zh-CN"/>
              </w:rPr>
            </w:pPr>
          </w:p>
          <w:p w14:paraId="0079F2A2" w14:textId="77777777" w:rsidR="009F596A" w:rsidRDefault="009F596A" w:rsidP="009F596A">
            <w:pPr>
              <w:overflowPunct w:val="0"/>
              <w:autoSpaceDE w:val="0"/>
              <w:autoSpaceDN w:val="0"/>
              <w:jc w:val="both"/>
              <w:rPr>
                <w:rFonts w:ascii="Calibri" w:hAnsi="Calibri" w:cs="Calibri"/>
                <w:sz w:val="22"/>
                <w:szCs w:val="22"/>
              </w:rPr>
            </w:pPr>
            <w:r>
              <w:rPr>
                <w:rFonts w:ascii="Arial" w:hAnsi="Arial" w:cs="Arial"/>
                <w:b/>
                <w:bCs/>
                <w:lang w:eastAsia="zh-CN"/>
              </w:rPr>
              <w:t>Issue 2:</w:t>
            </w:r>
            <w:r>
              <w:rPr>
                <w:rFonts w:ascii="Arial" w:hAnsi="Arial" w:cs="Arial"/>
                <w:lang w:eastAsia="zh-CN"/>
              </w:rPr>
              <w:t xml:space="preserve"> </w:t>
            </w:r>
            <w:r>
              <w:rPr>
                <w:rFonts w:ascii="Calibri" w:hAnsi="Calibri" w:cs="Calibri"/>
                <w:sz w:val="22"/>
                <w:szCs w:val="22"/>
              </w:rPr>
              <w:t>whether the UE monitors PDCCH during the cell DTX non-active period following successful completion of RA (</w:t>
            </w:r>
            <w:proofErr w:type="gramStart"/>
            <w:r>
              <w:rPr>
                <w:rFonts w:ascii="Calibri" w:hAnsi="Calibri" w:cs="Calibri"/>
                <w:sz w:val="22"/>
                <w:szCs w:val="22"/>
              </w:rPr>
              <w:t>e.g.</w:t>
            </w:r>
            <w:proofErr w:type="gramEnd"/>
            <w:r>
              <w:rPr>
                <w:rFonts w:ascii="Calibri" w:hAnsi="Calibri" w:cs="Calibri"/>
                <w:sz w:val="22"/>
                <w:szCs w:val="22"/>
              </w:rPr>
              <w:t xml:space="preserve"> after a RA triggered by an emergency call, per the WA).</w:t>
            </w:r>
          </w:p>
          <w:p w14:paraId="615DD424" w14:textId="77777777" w:rsidR="009F596A" w:rsidRDefault="009F596A" w:rsidP="0085097F">
            <w:pPr>
              <w:numPr>
                <w:ilvl w:val="0"/>
                <w:numId w:val="17"/>
              </w:numPr>
              <w:overflowPunct w:val="0"/>
              <w:autoSpaceDE w:val="0"/>
              <w:autoSpaceDN w:val="0"/>
              <w:spacing w:after="120"/>
              <w:jc w:val="both"/>
              <w:rPr>
                <w:rFonts w:ascii="Calibri" w:eastAsia="Times New Roman" w:hAnsi="Calibri" w:cs="Calibri"/>
                <w:sz w:val="22"/>
                <w:szCs w:val="22"/>
              </w:rPr>
            </w:pPr>
            <w:r>
              <w:rPr>
                <w:rFonts w:ascii="Calibri" w:eastAsia="Times New Roman" w:hAnsi="Calibri" w:cs="Calibri"/>
                <w:sz w:val="22"/>
                <w:szCs w:val="22"/>
              </w:rPr>
              <w:t>Per comments under QC002</w:t>
            </w:r>
          </w:p>
          <w:p w14:paraId="67A0581F" w14:textId="77777777" w:rsidR="009F596A" w:rsidRDefault="009F596A" w:rsidP="009F596A">
            <w:pPr>
              <w:overflowPunct w:val="0"/>
              <w:autoSpaceDE w:val="0"/>
              <w:autoSpaceDN w:val="0"/>
              <w:ind w:left="720"/>
              <w:jc w:val="both"/>
              <w:rPr>
                <w:rFonts w:ascii="Calibri" w:eastAsiaTheme="minorHAnsi" w:hAnsi="Calibri" w:cs="Calibri"/>
                <w:sz w:val="22"/>
                <w:szCs w:val="22"/>
              </w:rPr>
            </w:pPr>
          </w:p>
          <w:p w14:paraId="0D6189E9" w14:textId="77777777" w:rsidR="009F596A" w:rsidRDefault="009F596A" w:rsidP="009F596A">
            <w:pPr>
              <w:overflowPunct w:val="0"/>
              <w:autoSpaceDE w:val="0"/>
              <w:autoSpaceDN w:val="0"/>
              <w:jc w:val="both"/>
              <w:rPr>
                <w:rFonts w:ascii="Calibri" w:hAnsi="Calibri" w:cs="Calibri"/>
                <w:sz w:val="22"/>
                <w:szCs w:val="22"/>
              </w:rPr>
            </w:pPr>
            <w:r>
              <w:rPr>
                <w:rFonts w:ascii="Calibri" w:hAnsi="Calibri" w:cs="Calibri"/>
                <w:b/>
                <w:bCs/>
                <w:sz w:val="22"/>
                <w:szCs w:val="22"/>
              </w:rPr>
              <w:t>Issue 3:</w:t>
            </w:r>
            <w:r>
              <w:rPr>
                <w:rFonts w:ascii="Calibri" w:hAnsi="Calibri" w:cs="Calibri"/>
                <w:sz w:val="22"/>
                <w:szCs w:val="22"/>
              </w:rPr>
              <w:t xml:space="preserve"> Whether to add NES-RNTI to the list of monitored RNTIs in section 4.7 (DRX)</w:t>
            </w:r>
          </w:p>
          <w:p w14:paraId="71F471A7" w14:textId="77777777" w:rsidR="009F596A" w:rsidRDefault="009F596A" w:rsidP="0085097F">
            <w:pPr>
              <w:numPr>
                <w:ilvl w:val="0"/>
                <w:numId w:val="17"/>
              </w:numPr>
              <w:overflowPunct w:val="0"/>
              <w:autoSpaceDE w:val="0"/>
              <w:autoSpaceDN w:val="0"/>
              <w:spacing w:after="120"/>
              <w:jc w:val="both"/>
              <w:rPr>
                <w:rFonts w:ascii="Calibri" w:eastAsia="Times New Roman" w:hAnsi="Calibri" w:cs="Calibri"/>
                <w:sz w:val="22"/>
                <w:szCs w:val="22"/>
              </w:rPr>
            </w:pPr>
            <w:r>
              <w:rPr>
                <w:rFonts w:ascii="Calibri" w:eastAsia="Times New Roman" w:hAnsi="Calibri" w:cs="Calibri"/>
                <w:sz w:val="22"/>
                <w:szCs w:val="22"/>
              </w:rPr>
              <w:t>Per comments under M001, or we wait for RAN1.</w:t>
            </w:r>
          </w:p>
          <w:p w14:paraId="7AF74C20" w14:textId="77777777" w:rsidR="00B432CB" w:rsidRDefault="00B432CB" w:rsidP="00093C32">
            <w:pPr>
              <w:overflowPunct w:val="0"/>
              <w:autoSpaceDE w:val="0"/>
              <w:autoSpaceDN w:val="0"/>
              <w:spacing w:after="120"/>
              <w:jc w:val="both"/>
            </w:pPr>
          </w:p>
        </w:tc>
      </w:tr>
    </w:tbl>
    <w:p w14:paraId="51013FC4" w14:textId="77777777" w:rsidR="00280F5B" w:rsidRDefault="00280F5B" w:rsidP="005B6108">
      <w:pPr>
        <w:spacing w:after="0"/>
      </w:pPr>
    </w:p>
    <w:p w14:paraId="0F40C086" w14:textId="2AC9524D" w:rsidR="009F596A" w:rsidRDefault="009F596A" w:rsidP="009F596A">
      <w:pPr>
        <w:pStyle w:val="Heading1"/>
      </w:pPr>
      <w:r w:rsidRPr="009F596A">
        <w:t>Further Alignment Discussion</w:t>
      </w:r>
    </w:p>
    <w:p w14:paraId="54FDBE88" w14:textId="526776C1" w:rsidR="009F596A" w:rsidRDefault="009F596A" w:rsidP="009F596A">
      <w:pPr>
        <w:pStyle w:val="Heading2"/>
      </w:pPr>
      <w:r>
        <w:t>Cell DTX Across Serving Cells</w:t>
      </w:r>
    </w:p>
    <w:p w14:paraId="5D96D9A1" w14:textId="389FD063" w:rsidR="009F596A" w:rsidRDefault="009F596A" w:rsidP="009F596A">
      <w:r>
        <w:t xml:space="preserve">The current agreement on cell DTX allows a “per-serving cell” configuration of patterns, however, it mandates some rules on the alignment </w:t>
      </w:r>
      <w:r w:rsidR="00093C32">
        <w:t>across serving cells:</w:t>
      </w:r>
    </w:p>
    <w:tbl>
      <w:tblPr>
        <w:tblStyle w:val="TableGrid"/>
        <w:tblW w:w="0" w:type="auto"/>
        <w:tblLook w:val="04A0" w:firstRow="1" w:lastRow="0" w:firstColumn="1" w:lastColumn="0" w:noHBand="0" w:noVBand="1"/>
      </w:tblPr>
      <w:tblGrid>
        <w:gridCol w:w="9631"/>
      </w:tblGrid>
      <w:tr w:rsidR="00093C32" w14:paraId="4A290B90" w14:textId="77777777" w:rsidTr="00093C32">
        <w:tc>
          <w:tcPr>
            <w:tcW w:w="9631" w:type="dxa"/>
          </w:tcPr>
          <w:p w14:paraId="23AD5EC4" w14:textId="77777777" w:rsidR="00093C32" w:rsidRDefault="00093C32" w:rsidP="0085097F">
            <w:pPr>
              <w:pStyle w:val="EmailDiscussion2"/>
              <w:numPr>
                <w:ilvl w:val="0"/>
                <w:numId w:val="13"/>
              </w:numPr>
              <w:rPr>
                <w:lang w:eastAsia="sv-SE"/>
              </w:rPr>
            </w:pPr>
            <w:r>
              <w:rPr>
                <w:lang w:eastAsia="sv-SE"/>
              </w:rPr>
              <w:t>Cell DTX/DRX configuration is provided per Serving Cell with the following restrictions:</w:t>
            </w:r>
          </w:p>
          <w:p w14:paraId="4D195BAB" w14:textId="77777777" w:rsidR="00093C32" w:rsidRDefault="00093C32" w:rsidP="0085097F">
            <w:pPr>
              <w:pStyle w:val="EmailDiscussion2"/>
              <w:numPr>
                <w:ilvl w:val="0"/>
                <w:numId w:val="12"/>
              </w:numPr>
              <w:rPr>
                <w:lang w:eastAsia="sv-SE"/>
              </w:rPr>
            </w:pPr>
            <w:r>
              <w:rPr>
                <w:lang w:eastAsia="sv-SE"/>
              </w:rPr>
              <w:t xml:space="preserve">A maximum of two cell DTX/DRX patterns can be configured per MAC </w:t>
            </w:r>
            <w:proofErr w:type="gramStart"/>
            <w:r>
              <w:rPr>
                <w:lang w:eastAsia="sv-SE"/>
              </w:rPr>
              <w:t>entity</w:t>
            </w:r>
            <w:proofErr w:type="gramEnd"/>
            <w:r>
              <w:rPr>
                <w:lang w:eastAsia="sv-SE"/>
              </w:rPr>
              <w:t xml:space="preserve"> </w:t>
            </w:r>
          </w:p>
          <w:p w14:paraId="60DEA07C" w14:textId="77777777" w:rsidR="00093C32" w:rsidRDefault="00093C32" w:rsidP="0085097F">
            <w:pPr>
              <w:pStyle w:val="EmailDiscussion2"/>
              <w:numPr>
                <w:ilvl w:val="0"/>
                <w:numId w:val="12"/>
              </w:numPr>
              <w:rPr>
                <w:lang w:eastAsia="sv-SE"/>
              </w:rPr>
            </w:pPr>
            <w:r>
              <w:rPr>
                <w:lang w:eastAsia="sv-SE"/>
              </w:rPr>
              <w:t xml:space="preserve">The two configured patterns are aligned, </w:t>
            </w:r>
          </w:p>
          <w:p w14:paraId="57BFAE6E" w14:textId="77777777" w:rsidR="00093C32" w:rsidRDefault="00093C32" w:rsidP="0085097F">
            <w:pPr>
              <w:pStyle w:val="EmailDiscussion2"/>
              <w:numPr>
                <w:ilvl w:val="1"/>
                <w:numId w:val="12"/>
              </w:numPr>
              <w:rPr>
                <w:lang w:eastAsia="sv-SE"/>
              </w:rPr>
            </w:pPr>
            <w:r>
              <w:rPr>
                <w:lang w:eastAsia="sv-SE"/>
              </w:rPr>
              <w:t>The start and slot offset are common for the two patterns.</w:t>
            </w:r>
          </w:p>
          <w:p w14:paraId="6E944BB3" w14:textId="13576513" w:rsidR="00093C32" w:rsidRDefault="00093C32" w:rsidP="0085097F">
            <w:pPr>
              <w:pStyle w:val="EmailDiscussion2"/>
              <w:numPr>
                <w:ilvl w:val="1"/>
                <w:numId w:val="12"/>
              </w:numPr>
              <w:rPr>
                <w:lang w:eastAsia="sv-SE"/>
              </w:rPr>
            </w:pPr>
            <w:r>
              <w:rPr>
                <w:lang w:eastAsia="sv-SE"/>
              </w:rPr>
              <w:t>one periodicity is an integer multiple of the other.</w:t>
            </w:r>
          </w:p>
        </w:tc>
      </w:tr>
    </w:tbl>
    <w:p w14:paraId="123865D7" w14:textId="4814A879" w:rsidR="00F617A4" w:rsidRDefault="00093C32" w:rsidP="009F596A">
      <w:r>
        <w:t>Absent from the current agreement, is any alignment rules between the ON-duration between cells. In our view, we should not have variability of PDCCH monitoring across serving cells that are in the same band, as this introduces too much complexity in the hardware. Note that in Rel-16 power savings, it was determined that PDCCH variability in monitoring can only happen over frequency ranges and that UE power saving can be sacrificed (by not tailoring the DRX patterns per-band or per-cell)</w:t>
      </w:r>
      <w:r w:rsidR="001237E9">
        <w:t>.</w:t>
      </w:r>
      <w:r>
        <w:t xml:space="preserve"> </w:t>
      </w:r>
      <w:proofErr w:type="gramStart"/>
      <w:r w:rsidR="001237E9">
        <w:t>I</w:t>
      </w:r>
      <w:r>
        <w:t>n order to</w:t>
      </w:r>
      <w:proofErr w:type="gramEnd"/>
      <w:r>
        <w:t xml:space="preserve"> keep the complexity of UE manageable</w:t>
      </w:r>
      <w:r w:rsidR="001237E9">
        <w:t>,</w:t>
      </w:r>
      <w:r>
        <w:t xml:space="preserve"> </w:t>
      </w:r>
      <w:r w:rsidR="001237E9">
        <w:t>w</w:t>
      </w:r>
      <w:r>
        <w:t xml:space="preserve">e think a similar approach should be taken to tweak the alignment rules between the two configured patterns so as not to impose the burden of variability between patterns in the UE. </w:t>
      </w:r>
    </w:p>
    <w:p w14:paraId="63DFD6D3" w14:textId="156E63A0" w:rsidR="00093C32" w:rsidRDefault="00093C32" w:rsidP="009F596A">
      <w:pPr>
        <w:rPr>
          <w:b/>
          <w:bCs/>
        </w:rPr>
      </w:pPr>
      <w:r w:rsidRPr="00092618">
        <w:rPr>
          <w:b/>
          <w:bCs/>
        </w:rPr>
        <w:t>Observation 1: Variability in ON-durations between serving cell patterns that are close in frequency complicate PDCCH monitoring and blind decoding at the UE due to possible per-occasion variability in PDCCH.</w:t>
      </w:r>
    </w:p>
    <w:p w14:paraId="7355BA68" w14:textId="77F39C77" w:rsidR="00F617A4" w:rsidRPr="00F617A4" w:rsidRDefault="00F617A4" w:rsidP="009F596A"/>
    <w:p w14:paraId="1B573D8E" w14:textId="478E8FF7" w:rsidR="00093C32" w:rsidRPr="00092618" w:rsidRDefault="00093C32" w:rsidP="009F596A">
      <w:pPr>
        <w:rPr>
          <w:b/>
          <w:bCs/>
        </w:rPr>
      </w:pPr>
      <w:r w:rsidRPr="00092618">
        <w:rPr>
          <w:b/>
          <w:bCs/>
        </w:rPr>
        <w:lastRenderedPageBreak/>
        <w:t xml:space="preserve">Proposal 1: </w:t>
      </w:r>
      <w:r w:rsidR="00092618" w:rsidRPr="00092618">
        <w:rPr>
          <w:b/>
          <w:bCs/>
        </w:rPr>
        <w:t>RAN2 to discuss the following two options on ON-duration alignment between Cell DTX patterns:</w:t>
      </w:r>
    </w:p>
    <w:p w14:paraId="005EBBEF" w14:textId="7CD5EEBE" w:rsidR="00092618" w:rsidRPr="00092618" w:rsidRDefault="00092618" w:rsidP="0085097F">
      <w:pPr>
        <w:pStyle w:val="ListParagraph"/>
        <w:numPr>
          <w:ilvl w:val="0"/>
          <w:numId w:val="18"/>
        </w:numPr>
        <w:rPr>
          <w:b/>
          <w:bCs/>
        </w:rPr>
      </w:pPr>
      <w:r w:rsidRPr="00092618">
        <w:rPr>
          <w:b/>
          <w:bCs/>
        </w:rPr>
        <w:t>Option 1: ON duration is common for all serving cell DTX patterns in the same frequency range.</w:t>
      </w:r>
    </w:p>
    <w:p w14:paraId="266E858B" w14:textId="4697FA81" w:rsidR="00092618" w:rsidRDefault="00092618" w:rsidP="0085097F">
      <w:pPr>
        <w:pStyle w:val="ListParagraph"/>
        <w:numPr>
          <w:ilvl w:val="0"/>
          <w:numId w:val="18"/>
        </w:numPr>
        <w:rPr>
          <w:b/>
          <w:bCs/>
        </w:rPr>
      </w:pPr>
      <w:r w:rsidRPr="00092618">
        <w:rPr>
          <w:b/>
          <w:bCs/>
        </w:rPr>
        <w:t>Option 2: ON duration is common for all serving cell DTX pattern</w:t>
      </w:r>
      <w:r>
        <w:rPr>
          <w:b/>
          <w:bCs/>
        </w:rPr>
        <w:t>s</w:t>
      </w:r>
      <w:r w:rsidRPr="00092618">
        <w:rPr>
          <w:b/>
          <w:bCs/>
        </w:rPr>
        <w:t xml:space="preserve"> in the same frequency band. </w:t>
      </w:r>
    </w:p>
    <w:p w14:paraId="2174C597" w14:textId="06CC6B86" w:rsidR="00092618" w:rsidRDefault="00092618" w:rsidP="00092618">
      <w:pPr>
        <w:pStyle w:val="Heading2"/>
      </w:pPr>
      <w:r>
        <w:t xml:space="preserve">Standalone Cell DRX </w:t>
      </w:r>
    </w:p>
    <w:p w14:paraId="0475ACF8" w14:textId="17C316AF" w:rsidR="00092618" w:rsidRDefault="00092618" w:rsidP="00092618">
      <w:r>
        <w:t>The following was agreed with respect to standalone Cell DRX:</w:t>
      </w:r>
    </w:p>
    <w:p w14:paraId="6D7F24BF" w14:textId="77777777" w:rsidR="00092618" w:rsidRPr="00CD276B" w:rsidRDefault="00092618" w:rsidP="0085097F">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E86A87">
        <w:t>Start offset</w:t>
      </w:r>
      <w:r>
        <w:t xml:space="preserve"> and slot offset</w:t>
      </w:r>
      <w:r w:rsidRPr="00E86A87">
        <w:t xml:space="preserve"> configuration is also common between Cell DTX and Cell DRX when both are </w:t>
      </w:r>
      <w:proofErr w:type="gramStart"/>
      <w:r w:rsidRPr="00E86A87">
        <w:t>configured</w:t>
      </w:r>
      <w:proofErr w:type="gramEnd"/>
      <w:r>
        <w:t xml:space="preserve"> </w:t>
      </w:r>
    </w:p>
    <w:p w14:paraId="41B198EA" w14:textId="77777777" w:rsidR="00092618" w:rsidRPr="006015ED" w:rsidRDefault="00092618" w:rsidP="0085097F">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1E4F4E">
        <w:t xml:space="preserve">Standalone cell DRX configuration is </w:t>
      </w:r>
      <w:r>
        <w:t xml:space="preserve">possible to </w:t>
      </w:r>
      <w:proofErr w:type="gramStart"/>
      <w:r>
        <w:t>configure</w:t>
      </w:r>
      <w:proofErr w:type="gramEnd"/>
      <w:r>
        <w:t xml:space="preserve"> </w:t>
      </w:r>
      <w:r w:rsidRPr="001E4F4E">
        <w:t xml:space="preserve"> </w:t>
      </w:r>
    </w:p>
    <w:p w14:paraId="065E5F6A" w14:textId="77777777" w:rsidR="00092618" w:rsidRDefault="00092618" w:rsidP="00092618"/>
    <w:p w14:paraId="243A62E2" w14:textId="77777777" w:rsidR="00092618" w:rsidRDefault="00092618" w:rsidP="00092618">
      <w:r>
        <w:t>However, during the RRC CR discussion, the following was identified as open issue:</w:t>
      </w:r>
    </w:p>
    <w:tbl>
      <w:tblPr>
        <w:tblStyle w:val="TableGrid"/>
        <w:tblW w:w="0" w:type="auto"/>
        <w:tblLook w:val="04A0" w:firstRow="1" w:lastRow="0" w:firstColumn="1" w:lastColumn="0" w:noHBand="0" w:noVBand="1"/>
      </w:tblPr>
      <w:tblGrid>
        <w:gridCol w:w="9631"/>
      </w:tblGrid>
      <w:tr w:rsidR="00092618" w14:paraId="4A4738AE" w14:textId="77777777" w:rsidTr="00092618">
        <w:tc>
          <w:tcPr>
            <w:tcW w:w="9631" w:type="dxa"/>
          </w:tcPr>
          <w:p w14:paraId="1F48E35D" w14:textId="7E5BC994" w:rsidR="00092618" w:rsidRPr="00092618" w:rsidRDefault="00092618" w:rsidP="00092618">
            <w:pPr>
              <w:rPr>
                <w:rFonts w:ascii="Arial" w:eastAsia="DengXian" w:hAnsi="Arial" w:cs="Arial"/>
                <w:b/>
                <w:lang w:eastAsia="zh-CN"/>
              </w:rPr>
            </w:pPr>
            <w:r w:rsidRPr="00021FD6">
              <w:rPr>
                <w:rFonts w:ascii="Arial" w:eastAsia="DengXian" w:hAnsi="Arial" w:cs="Arial"/>
                <w:b/>
                <w:u w:val="single"/>
                <w:lang w:eastAsia="zh-CN"/>
              </w:rPr>
              <w:t>Issue 1-1</w:t>
            </w:r>
            <w:r>
              <w:rPr>
                <w:rFonts w:ascii="Arial" w:eastAsia="DengXian" w:hAnsi="Arial" w:cs="Arial"/>
                <w:b/>
                <w:u w:val="single"/>
                <w:lang w:eastAsia="zh-CN"/>
              </w:rPr>
              <w:t>3</w:t>
            </w:r>
            <w:r w:rsidRPr="00483880">
              <w:rPr>
                <w:rFonts w:ascii="Arial" w:eastAsia="DengXian" w:hAnsi="Arial" w:cs="Arial"/>
                <w:b/>
                <w:lang w:eastAsia="zh-CN"/>
              </w:rPr>
              <w:t xml:space="preserve">: </w:t>
            </w:r>
            <w:r>
              <w:rPr>
                <w:rFonts w:ascii="Arial" w:eastAsia="DengXian" w:hAnsi="Arial" w:cs="Arial"/>
                <w:b/>
                <w:lang w:eastAsia="zh-CN"/>
              </w:rPr>
              <w:t>Should cell DRX be added to the agreement: “</w:t>
            </w:r>
            <w:r w:rsidRPr="00483880">
              <w:rPr>
                <w:rFonts w:ascii="Arial" w:eastAsia="DengXian" w:hAnsi="Arial" w:cs="Arial"/>
                <w:b/>
                <w:lang w:eastAsia="zh-CN"/>
              </w:rPr>
              <w:t>We focus on the case where DTX in RRC can only be configured when C-DRX is configured</w:t>
            </w:r>
            <w:r>
              <w:rPr>
                <w:rFonts w:ascii="Arial" w:eastAsia="DengXian" w:hAnsi="Arial" w:cs="Arial"/>
                <w:b/>
                <w:lang w:eastAsia="zh-CN"/>
              </w:rPr>
              <w:t>”.</w:t>
            </w:r>
          </w:p>
        </w:tc>
      </w:tr>
    </w:tbl>
    <w:p w14:paraId="54B411F3" w14:textId="4D33617F" w:rsidR="00E77A21" w:rsidRDefault="00092618" w:rsidP="00092618">
      <w:r>
        <w:t xml:space="preserve"> </w:t>
      </w:r>
      <w:r w:rsidR="00E77A21">
        <w:t xml:space="preserve">In our view, a standalone Cell DRX only works to suspend CG, SR from RAN2 point of view. Since </w:t>
      </w:r>
      <w:proofErr w:type="gramStart"/>
      <w:r w:rsidR="00E77A21">
        <w:t>both of these</w:t>
      </w:r>
      <w:proofErr w:type="gramEnd"/>
      <w:r w:rsidR="00E77A21">
        <w:t xml:space="preserve"> parameters are per-BWP, i.e., per-serving cell, the UE can look at the activation state of a specific serving cell and infer whether a CG/SR occasion is active is not. This has no critical dependence on C-DRX to be configured (although we think it should be for UE power savings), but from a standards </w:t>
      </w:r>
      <w:proofErr w:type="spellStart"/>
      <w:r w:rsidR="00E77A21">
        <w:t>pov</w:t>
      </w:r>
      <w:proofErr w:type="spellEnd"/>
      <w:r w:rsidR="00E77A21">
        <w:t xml:space="preserve">, no further discussion is needed on standalone Cell DRX. </w:t>
      </w:r>
    </w:p>
    <w:p w14:paraId="1A4403F6" w14:textId="6C6A132D" w:rsidR="00E77A21" w:rsidRPr="00E77A21" w:rsidRDefault="00E77A21" w:rsidP="00092618">
      <w:pPr>
        <w:rPr>
          <w:b/>
          <w:bCs/>
        </w:rPr>
      </w:pPr>
      <w:r w:rsidRPr="00E77A21">
        <w:rPr>
          <w:b/>
          <w:bCs/>
        </w:rPr>
        <w:t xml:space="preserve">Proposal 2: No further RAN2 work is needed to support standalone Cell DRX including UE C-DRX dependence. </w:t>
      </w:r>
    </w:p>
    <w:p w14:paraId="59665C69" w14:textId="2616A6FB" w:rsidR="00092618" w:rsidRDefault="00E77A21" w:rsidP="00E77A21">
      <w:pPr>
        <w:pStyle w:val="Heading2"/>
      </w:pPr>
      <w:r>
        <w:t>Activation States</w:t>
      </w:r>
    </w:p>
    <w:p w14:paraId="6B021B62" w14:textId="7206467F" w:rsidR="00E77A21" w:rsidRDefault="00E77A21" w:rsidP="00E77A21">
      <w:r>
        <w:t xml:space="preserve">Currently, the activation state in Cell DRX is per-cell and there </w:t>
      </w:r>
      <w:r w:rsidR="00335FA2">
        <w:t>are</w:t>
      </w:r>
      <w:r>
        <w:t xml:space="preserve"> no requirements on alignment of activation state, i.e., any cell can be active/non-active independent from other cells. In our view, </w:t>
      </w:r>
      <w:r w:rsidR="00335FA2">
        <w:t>one</w:t>
      </w:r>
      <w:r>
        <w:t xml:space="preserve"> pattern that should be avoided is the activation of an </w:t>
      </w:r>
      <w:proofErr w:type="spellStart"/>
      <w:r>
        <w:t>SCell</w:t>
      </w:r>
      <w:proofErr w:type="spellEnd"/>
      <w:r>
        <w:t xml:space="preserve"> with </w:t>
      </w:r>
      <w:proofErr w:type="spellStart"/>
      <w:r>
        <w:t>SpCell</w:t>
      </w:r>
      <w:proofErr w:type="spellEnd"/>
      <w:r>
        <w:t xml:space="preserve"> </w:t>
      </w:r>
      <w:r w:rsidR="00335FA2">
        <w:t>being in non-active period. This is to avoid impact to cross-carrier scheduling and RLM</w:t>
      </w:r>
      <w:r w:rsidR="00906B5B">
        <w:t>/RRM</w:t>
      </w:r>
      <w:r w:rsidR="00335FA2">
        <w:t xml:space="preserve"> (e.g., based off CSI-RS). </w:t>
      </w:r>
    </w:p>
    <w:p w14:paraId="0A434122" w14:textId="146A52BF" w:rsidR="00335FA2" w:rsidRDefault="00335FA2" w:rsidP="00E77A21">
      <w:pPr>
        <w:rPr>
          <w:b/>
          <w:bCs/>
        </w:rPr>
      </w:pPr>
      <w:r w:rsidRPr="00335FA2">
        <w:rPr>
          <w:b/>
          <w:bCs/>
        </w:rPr>
        <w:t xml:space="preserve">Proposal 3: The patterns that allow </w:t>
      </w:r>
      <w:proofErr w:type="spellStart"/>
      <w:r w:rsidRPr="00335FA2">
        <w:rPr>
          <w:b/>
          <w:bCs/>
        </w:rPr>
        <w:t>S</w:t>
      </w:r>
      <w:r w:rsidR="001237E9">
        <w:rPr>
          <w:b/>
          <w:bCs/>
        </w:rPr>
        <w:t>C</w:t>
      </w:r>
      <w:r w:rsidRPr="00335FA2">
        <w:rPr>
          <w:b/>
          <w:bCs/>
        </w:rPr>
        <w:t>ell</w:t>
      </w:r>
      <w:proofErr w:type="spellEnd"/>
      <w:r w:rsidRPr="00335FA2">
        <w:rPr>
          <w:b/>
          <w:bCs/>
        </w:rPr>
        <w:t xml:space="preserve"> to be in active period with </w:t>
      </w:r>
      <w:proofErr w:type="spellStart"/>
      <w:r w:rsidRPr="00335FA2">
        <w:rPr>
          <w:b/>
          <w:bCs/>
        </w:rPr>
        <w:t>S</w:t>
      </w:r>
      <w:r w:rsidR="001237E9">
        <w:rPr>
          <w:b/>
          <w:bCs/>
        </w:rPr>
        <w:t>p</w:t>
      </w:r>
      <w:r w:rsidRPr="00335FA2">
        <w:rPr>
          <w:b/>
          <w:bCs/>
        </w:rPr>
        <w:t>cell</w:t>
      </w:r>
      <w:proofErr w:type="spellEnd"/>
      <w:r w:rsidRPr="00335FA2">
        <w:rPr>
          <w:b/>
          <w:bCs/>
        </w:rPr>
        <w:t>/</w:t>
      </w:r>
      <w:proofErr w:type="spellStart"/>
      <w:r w:rsidRPr="00335FA2">
        <w:rPr>
          <w:b/>
          <w:bCs/>
        </w:rPr>
        <w:t>Pcell</w:t>
      </w:r>
      <w:proofErr w:type="spellEnd"/>
      <w:r w:rsidRPr="00335FA2">
        <w:rPr>
          <w:b/>
          <w:bCs/>
        </w:rPr>
        <w:t xml:space="preserve"> in non-active periods should be avoided. </w:t>
      </w:r>
    </w:p>
    <w:p w14:paraId="14812F5C" w14:textId="7F3EB56B" w:rsidR="004D4A4E" w:rsidRDefault="004D4A4E" w:rsidP="004D4A4E">
      <w:pPr>
        <w:pStyle w:val="Heading1"/>
      </w:pPr>
      <w:r>
        <w:t>Monitoring NES-RNTI</w:t>
      </w:r>
    </w:p>
    <w:p w14:paraId="4B551496" w14:textId="28C90DFB" w:rsidR="004D4A4E" w:rsidRDefault="004D4A4E" w:rsidP="004D4A4E">
      <w:r>
        <w:t xml:space="preserve">RAN1 has introduced a new DCI2_9 and the associated NES-RNTI search space. There are some open discussions in RAN1/RAN2 on when NES-RNTI should be monitored. </w:t>
      </w:r>
    </w:p>
    <w:p w14:paraId="78F16359" w14:textId="0C3F6B64" w:rsidR="00396420" w:rsidRDefault="00396420" w:rsidP="004D4A4E">
      <w:r>
        <w:rPr>
          <w:noProof/>
        </w:rPr>
        <w:drawing>
          <wp:inline distT="0" distB="0" distL="0" distR="0" wp14:anchorId="1C330268" wp14:editId="2140B26E">
            <wp:extent cx="5791835" cy="1943614"/>
            <wp:effectExtent l="0" t="0" r="0" b="0"/>
            <wp:docPr id="1774571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4967" cy="1971511"/>
                    </a:xfrm>
                    <a:prstGeom prst="rect">
                      <a:avLst/>
                    </a:prstGeom>
                    <a:noFill/>
                  </pic:spPr>
                </pic:pic>
              </a:graphicData>
            </a:graphic>
          </wp:inline>
        </w:drawing>
      </w:r>
    </w:p>
    <w:p w14:paraId="5A68F19D" w14:textId="517C8A85" w:rsidR="00396420" w:rsidRDefault="00396420" w:rsidP="004D4A4E">
      <w:r>
        <w:t xml:space="preserve">It is expected that for a single UE, DCI2_9 occasions (which are a per-serving cell configuration common for all UEs in the cell) would occasionally occur outside of UE active time. For example, in the figure above, we take an example where UE C-DRX periodicity (cycle length) is double of that cell DTX. We assume the gNB broadcasts DCI2_9 every cell DTX active period, i.e., half of DCI2_9 occasions occur at the middle of UE off period. In this case, the UE would waste power if it tried to monitor those occasions between UE active times. Furthermore, if the UE CDRX periodicity </w:t>
      </w:r>
      <w:r>
        <w:lastRenderedPageBreak/>
        <w:t>was much higher (</w:t>
      </w:r>
      <w:r w:rsidR="001237E9">
        <w:t>e.g.,</w:t>
      </w:r>
      <w:r>
        <w:t xml:space="preserve"> </w:t>
      </w:r>
      <w:r w:rsidR="001237E9">
        <w:t>5-10</w:t>
      </w:r>
      <w:r>
        <w:t xml:space="preserve">x) that of Cell DTX, UE would have to monitor two DCI2_9 occasions that carry complete redundant information as there is no </w:t>
      </w:r>
      <w:r w:rsidR="001237E9">
        <w:t xml:space="preserve">UE C-DRX </w:t>
      </w:r>
      <w:r>
        <w:t xml:space="preserve">ON-Duration within these occasions. </w:t>
      </w:r>
    </w:p>
    <w:p w14:paraId="08AD3111" w14:textId="1A04E13C" w:rsidR="00396420" w:rsidRPr="00396420" w:rsidRDefault="00396420" w:rsidP="004D4A4E">
      <w:pPr>
        <w:rPr>
          <w:b/>
          <w:bCs/>
        </w:rPr>
      </w:pPr>
      <w:r w:rsidRPr="00396420">
        <w:rPr>
          <w:b/>
          <w:bCs/>
        </w:rPr>
        <w:t xml:space="preserve">Observation </w:t>
      </w:r>
      <w:r w:rsidR="001237E9">
        <w:rPr>
          <w:b/>
          <w:bCs/>
        </w:rPr>
        <w:t>2</w:t>
      </w:r>
      <w:r w:rsidRPr="00396420">
        <w:rPr>
          <w:b/>
          <w:bCs/>
        </w:rPr>
        <w:t xml:space="preserve">: DCI2_9 occasions will be configured as a function of serving cell total load and may be much more frequent than UE ON-durations. </w:t>
      </w:r>
    </w:p>
    <w:p w14:paraId="76C507E9" w14:textId="53A6D78C" w:rsidR="00396420" w:rsidRDefault="00396420" w:rsidP="004D4A4E">
      <w:r>
        <w:t xml:space="preserve">To this end we think it is reasonable for the UE to only monitor DCI2_9 occasions that occur while the UE is already active with possible exception of WUS/DCP occasions that UEs </w:t>
      </w:r>
      <w:r w:rsidR="00D3723B">
        <w:t xml:space="preserve">configured with </w:t>
      </w:r>
      <w:r w:rsidR="00D3723B">
        <w:rPr>
          <w:sz w:val="16"/>
          <w:szCs w:val="16"/>
        </w:rPr>
        <w:t xml:space="preserve">DCP-Config-r16 </w:t>
      </w:r>
      <w:r w:rsidR="00D3723B">
        <w:t xml:space="preserve">already monitors. </w:t>
      </w:r>
    </w:p>
    <w:p w14:paraId="1CC5CD45" w14:textId="13526C88" w:rsidR="00D3723B" w:rsidRDefault="00D3723B" w:rsidP="004D4A4E">
      <w:pPr>
        <w:rPr>
          <w:b/>
          <w:bCs/>
        </w:rPr>
      </w:pPr>
      <w:r w:rsidRPr="00D3723B">
        <w:rPr>
          <w:b/>
          <w:bCs/>
        </w:rPr>
        <w:t xml:space="preserve">Proposal </w:t>
      </w:r>
      <w:r w:rsidR="001237E9">
        <w:rPr>
          <w:b/>
          <w:bCs/>
        </w:rPr>
        <w:t>4</w:t>
      </w:r>
      <w:r w:rsidRPr="00D3723B">
        <w:rPr>
          <w:b/>
          <w:bCs/>
        </w:rPr>
        <w:t xml:space="preserve">: UE is not expected to monitor any extra PDCCH occasions for NES-RNTI outside of what the UE already monitors in the legacy spec. </w:t>
      </w:r>
    </w:p>
    <w:p w14:paraId="504F9AF6" w14:textId="6B1EFBF5" w:rsidR="001237E9" w:rsidRDefault="001237E9" w:rsidP="001237E9">
      <w:pPr>
        <w:pStyle w:val="Heading1"/>
      </w:pPr>
      <w:r>
        <w:t>RACH Interruption of Cell DTX/DRX</w:t>
      </w:r>
    </w:p>
    <w:p w14:paraId="18F8BC8A" w14:textId="77777777" w:rsidR="001237E9" w:rsidRDefault="001237E9" w:rsidP="001237E9">
      <w:r>
        <w:t>Currently, RAN2 has made the following agreements regarding the impact of RACH on cell DTX/DRX:</w:t>
      </w:r>
    </w:p>
    <w:p w14:paraId="1965C690" w14:textId="77777777" w:rsidR="001237E9" w:rsidRPr="00410FDA" w:rsidRDefault="001237E9" w:rsidP="001237E9">
      <w:pPr>
        <w:pStyle w:val="Doc-text2"/>
        <w:pBdr>
          <w:top w:val="single" w:sz="4" w:space="1" w:color="auto"/>
          <w:left w:val="single" w:sz="4" w:space="4" w:color="auto"/>
          <w:bottom w:val="single" w:sz="4" w:space="1" w:color="auto"/>
          <w:right w:val="single" w:sz="4" w:space="4" w:color="auto"/>
        </w:pBdr>
      </w:pPr>
      <w:r w:rsidRPr="00410FDA">
        <w:t>1</w:t>
      </w:r>
      <w:r w:rsidRPr="00410FDA">
        <w:tab/>
        <w:t xml:space="preserve">UE monitors PDCCH for RAR during Cell DTX non-active time. The </w:t>
      </w:r>
      <w:proofErr w:type="spellStart"/>
      <w:r w:rsidRPr="00410FDA">
        <w:t>ra-ResponseWindow</w:t>
      </w:r>
      <w:proofErr w:type="spellEnd"/>
      <w:r w:rsidRPr="00410FDA">
        <w:t xml:space="preserve"> could be started as legacy.</w:t>
      </w:r>
    </w:p>
    <w:p w14:paraId="707F4047" w14:textId="77777777" w:rsidR="001237E9" w:rsidRPr="00F738C4" w:rsidRDefault="001237E9" w:rsidP="001237E9">
      <w:pPr>
        <w:pStyle w:val="Doc-text2"/>
        <w:pBdr>
          <w:top w:val="single" w:sz="4" w:space="1" w:color="auto"/>
          <w:left w:val="single" w:sz="4" w:space="4" w:color="auto"/>
          <w:bottom w:val="single" w:sz="4" w:space="1" w:color="auto"/>
          <w:right w:val="single" w:sz="4" w:space="4" w:color="auto"/>
        </w:pBdr>
      </w:pPr>
      <w:r w:rsidRPr="00410FDA">
        <w:t>2</w:t>
      </w:r>
      <w:r w:rsidRPr="00410FDA">
        <w:tab/>
        <w:t xml:space="preserve">UE monitors PDCCH for msg4 during Cell DTX non-active time. The </w:t>
      </w:r>
      <w:proofErr w:type="spellStart"/>
      <w:r w:rsidRPr="00410FDA">
        <w:t>ra-ContentionResolutionTimer</w:t>
      </w:r>
      <w:proofErr w:type="spellEnd"/>
      <w:r w:rsidRPr="00410FDA">
        <w:t xml:space="preserve"> could be started as legacy.</w:t>
      </w:r>
    </w:p>
    <w:p w14:paraId="5CD1C5F3" w14:textId="1F9608ED" w:rsidR="001237E9" w:rsidRDefault="001237E9" w:rsidP="001237E9">
      <w:r>
        <w:t>We also had the following WA last meeting:</w:t>
      </w:r>
    </w:p>
    <w:tbl>
      <w:tblPr>
        <w:tblStyle w:val="TableGrid"/>
        <w:tblW w:w="0" w:type="auto"/>
        <w:tblLook w:val="04A0" w:firstRow="1" w:lastRow="0" w:firstColumn="1" w:lastColumn="0" w:noHBand="0" w:noVBand="1"/>
      </w:tblPr>
      <w:tblGrid>
        <w:gridCol w:w="9631"/>
      </w:tblGrid>
      <w:tr w:rsidR="001237E9" w14:paraId="05EEB4AE" w14:textId="77777777" w:rsidTr="00E417FA">
        <w:tc>
          <w:tcPr>
            <w:tcW w:w="9631" w:type="dxa"/>
          </w:tcPr>
          <w:p w14:paraId="76A3D351" w14:textId="77777777" w:rsidR="001237E9" w:rsidRDefault="001237E9" w:rsidP="00E417FA">
            <w:r w:rsidRPr="00891A9C">
              <w:t>Working assumption: UE triggers RACH upon determining that an emergency call is initiated during the cell DTX/DRX non active period. We rely on the UE implementation to determine whether an emergency call is initiated.  We will take time to check until next meeting</w:t>
            </w:r>
            <w:r>
              <w:t xml:space="preserve"> to </w:t>
            </w:r>
            <w:r w:rsidRPr="00891A9C">
              <w:t>confir</w:t>
            </w:r>
            <w:r>
              <w:t>m</w:t>
            </w:r>
            <w:r w:rsidRPr="00891A9C">
              <w:t xml:space="preserve"> the WA.</w:t>
            </w:r>
          </w:p>
        </w:tc>
      </w:tr>
    </w:tbl>
    <w:p w14:paraId="31961A34" w14:textId="77777777" w:rsidR="001237E9" w:rsidRDefault="001237E9" w:rsidP="001237E9"/>
    <w:p w14:paraId="6678100F" w14:textId="5F9998AA" w:rsidR="001237E9" w:rsidRDefault="001237E9" w:rsidP="001237E9">
      <w:proofErr w:type="gramStart"/>
      <w:r>
        <w:t>It is clear that RAN2</w:t>
      </w:r>
      <w:proofErr w:type="gramEnd"/>
      <w:r>
        <w:t xml:space="preserve"> agreements have ensured that UE monitors PDCCH for Msg2/Msg4/</w:t>
      </w:r>
      <w:proofErr w:type="spellStart"/>
      <w:r>
        <w:t>MsgB</w:t>
      </w:r>
      <w:proofErr w:type="spellEnd"/>
      <w:r>
        <w:t xml:space="preserve">. However, suppose the UE has </w:t>
      </w:r>
      <w:r>
        <w:t>performed</w:t>
      </w:r>
      <w:r>
        <w:t xml:space="preserve"> RACH for BFR or an emergency call, which has deemed to be urgent by RAN2, there are no agreements for the UE to monitor PDCCH after receiving </w:t>
      </w:r>
      <w:proofErr w:type="spellStart"/>
      <w:r>
        <w:t>Msg</w:t>
      </w:r>
      <w:proofErr w:type="spellEnd"/>
      <w:r>
        <w:t xml:space="preserve"> 4/</w:t>
      </w:r>
      <w:proofErr w:type="spellStart"/>
      <w:r>
        <w:t>Msg</w:t>
      </w:r>
      <w:proofErr w:type="spellEnd"/>
      <w:r>
        <w:t xml:space="preserve"> B, for a CONNECTED UE, since Cell DTX/DRX configuration is neither deactivated nor released, it seems that the current spec. implies that the UE still waits for the next cell DTX/DRX active period to transmit and receive which renders this RACH for emergency call mechanism useless. </w:t>
      </w:r>
    </w:p>
    <w:p w14:paraId="270D011E" w14:textId="7FCC0916" w:rsidR="001237E9" w:rsidRPr="00410FDA" w:rsidRDefault="001237E9" w:rsidP="001237E9">
      <w:pPr>
        <w:rPr>
          <w:b/>
          <w:bCs/>
        </w:rPr>
      </w:pPr>
      <w:r w:rsidRPr="00410FDA">
        <w:rPr>
          <w:b/>
          <w:bCs/>
        </w:rPr>
        <w:t xml:space="preserve">Observation </w:t>
      </w:r>
      <w:r>
        <w:rPr>
          <w:b/>
          <w:bCs/>
        </w:rPr>
        <w:t>3</w:t>
      </w:r>
      <w:r w:rsidRPr="00410FDA">
        <w:rPr>
          <w:b/>
          <w:bCs/>
        </w:rPr>
        <w:t xml:space="preserve">: A CONNECTED UE may perform RACH during nonactive period of cell DTX/DRX but no existing mechanism to transmit and receive after RACH during </w:t>
      </w:r>
      <w:r>
        <w:rPr>
          <w:b/>
          <w:bCs/>
        </w:rPr>
        <w:t xml:space="preserve">Cell DTX/DRX </w:t>
      </w:r>
      <w:r w:rsidRPr="00410FDA">
        <w:rPr>
          <w:b/>
          <w:bCs/>
        </w:rPr>
        <w:t xml:space="preserve">nonactive period.   </w:t>
      </w:r>
    </w:p>
    <w:p w14:paraId="38F0A46E" w14:textId="26DF8708" w:rsidR="001237E9" w:rsidRDefault="001237E9" w:rsidP="001237E9">
      <w:pPr>
        <w:rPr>
          <w:b/>
          <w:bCs/>
        </w:rPr>
      </w:pPr>
      <w:r w:rsidRPr="00410FDA">
        <w:rPr>
          <w:b/>
          <w:bCs/>
        </w:rPr>
        <w:t xml:space="preserve">Proposal </w:t>
      </w:r>
      <w:r>
        <w:rPr>
          <w:b/>
          <w:bCs/>
        </w:rPr>
        <w:t>5</w:t>
      </w:r>
      <w:r w:rsidRPr="00410FDA">
        <w:rPr>
          <w:b/>
          <w:bCs/>
        </w:rPr>
        <w:t xml:space="preserve">: UE implicitly deactivates Cell DTX/DRX configuration after RACH on a serving cell. </w:t>
      </w:r>
    </w:p>
    <w:p w14:paraId="4BF9FC44" w14:textId="31DAFC70" w:rsidR="001237E9" w:rsidRDefault="00E624C1" w:rsidP="001237E9">
      <w:pPr>
        <w:pStyle w:val="Heading1"/>
      </w:pPr>
      <w:r>
        <w:rPr>
          <w:noProof/>
        </w:rPr>
        <w:drawing>
          <wp:anchor distT="0" distB="0" distL="114300" distR="114300" simplePos="0" relativeHeight="251663360" behindDoc="0" locked="0" layoutInCell="1" allowOverlap="1" wp14:anchorId="7D1498F0" wp14:editId="0B93FACD">
            <wp:simplePos x="0" y="0"/>
            <wp:positionH relativeFrom="column">
              <wp:posOffset>1072261</wp:posOffset>
            </wp:positionH>
            <wp:positionV relativeFrom="paragraph">
              <wp:posOffset>594741</wp:posOffset>
            </wp:positionV>
            <wp:extent cx="3767455" cy="1990090"/>
            <wp:effectExtent l="0" t="0" r="4445" b="0"/>
            <wp:wrapTopAndBottom/>
            <wp:docPr id="12990608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67455" cy="1990090"/>
                    </a:xfrm>
                    <a:prstGeom prst="rect">
                      <a:avLst/>
                    </a:prstGeom>
                    <a:noFill/>
                  </pic:spPr>
                </pic:pic>
              </a:graphicData>
            </a:graphic>
            <wp14:sizeRelH relativeFrom="page">
              <wp14:pctWidth>0</wp14:pctWidth>
            </wp14:sizeRelH>
            <wp14:sizeRelV relativeFrom="page">
              <wp14:pctHeight>0</wp14:pctHeight>
            </wp14:sizeRelV>
          </wp:anchor>
        </w:drawing>
      </w:r>
      <w:r w:rsidR="001237E9">
        <w:t>Missed SR</w:t>
      </w:r>
    </w:p>
    <w:p w14:paraId="224C9D00" w14:textId="7A99CC23" w:rsidR="00E624C1" w:rsidRDefault="00E624C1" w:rsidP="00E624C1"/>
    <w:p w14:paraId="74DF6926" w14:textId="0CEC13F2" w:rsidR="00E624C1" w:rsidRDefault="00E624C1" w:rsidP="00E624C1">
      <w:r>
        <w:t>The current NES agreements and legacy behaviour mandate the following:</w:t>
      </w:r>
    </w:p>
    <w:p w14:paraId="64843728" w14:textId="77777777" w:rsidR="00E624C1" w:rsidRDefault="00E624C1" w:rsidP="00E624C1">
      <w:pPr>
        <w:pStyle w:val="ListParagraph"/>
        <w:numPr>
          <w:ilvl w:val="0"/>
          <w:numId w:val="21"/>
        </w:numPr>
      </w:pPr>
      <w:r>
        <w:t xml:space="preserve">UE does not transmit SR nor trigger SR-RACH during cell </w:t>
      </w:r>
      <w:proofErr w:type="gramStart"/>
      <w:r>
        <w:t>DRX</w:t>
      </w:r>
      <w:proofErr w:type="gramEnd"/>
    </w:p>
    <w:p w14:paraId="3F80A16F" w14:textId="77777777" w:rsidR="00E624C1" w:rsidRDefault="00E624C1" w:rsidP="00E624C1">
      <w:pPr>
        <w:pStyle w:val="ListParagraph"/>
        <w:numPr>
          <w:ilvl w:val="0"/>
          <w:numId w:val="21"/>
        </w:numPr>
      </w:pPr>
      <w:r>
        <w:lastRenderedPageBreak/>
        <w:t xml:space="preserve">UE monitors PDCCH after transmitting an SR until receiving a </w:t>
      </w:r>
      <w:proofErr w:type="gramStart"/>
      <w:r>
        <w:t>PDCCH</w:t>
      </w:r>
      <w:proofErr w:type="gramEnd"/>
    </w:p>
    <w:p w14:paraId="5DC06AB0" w14:textId="08F81570" w:rsidR="00E624C1" w:rsidRDefault="00E624C1" w:rsidP="00E624C1">
      <w:r>
        <w:t>Consider the figure above. The UE transmits an SR during cell DRX/DTX active period, but the SR is missed by the gNB an no configured SR occasions are available until cell DTX/DRX non-active period. The UE is then mandate</w:t>
      </w:r>
      <w:r w:rsidR="00520281">
        <w:t>d</w:t>
      </w:r>
      <w:r>
        <w:t xml:space="preserve"> to monitor PDCCH for the whole Cell DTX/DRX non-active period (which can be </w:t>
      </w:r>
      <w:proofErr w:type="gramStart"/>
      <w:r>
        <w:t>fairly long</w:t>
      </w:r>
      <w:proofErr w:type="gramEnd"/>
      <w:r>
        <w:t xml:space="preserve">) until the next available SR occasion in the next cell DTX/DRX active period. This is expensive for UE power as the UE unnecessarily monitors a long non-active period (this overrides any C-DRX behaviours too). </w:t>
      </w:r>
    </w:p>
    <w:p w14:paraId="135F2CB7" w14:textId="6CF56233" w:rsidR="00E624C1" w:rsidRPr="00E624C1" w:rsidRDefault="00E624C1" w:rsidP="00E624C1">
      <w:pPr>
        <w:rPr>
          <w:b/>
          <w:bCs/>
        </w:rPr>
      </w:pPr>
      <w:r w:rsidRPr="00E624C1">
        <w:rPr>
          <w:b/>
          <w:bCs/>
        </w:rPr>
        <w:t xml:space="preserve">Observation 4: A missed SR can be expensive to the UE power as it may lead to UE unnecessarily monitoring PDCCH during the whole cell DTX/DRX non-active period. </w:t>
      </w:r>
    </w:p>
    <w:p w14:paraId="4265F725" w14:textId="3DDD34B6" w:rsidR="00E624C1" w:rsidRPr="00E624C1" w:rsidRDefault="00E624C1" w:rsidP="00E624C1">
      <w:r>
        <w:t>To this end, one solution can be to optionally configure a maximum time an SR can be kept pending</w:t>
      </w:r>
      <w:r w:rsidR="00E3041C">
        <w:t xml:space="preserve"> before triggering an SR-RACH to avoid the UE monitoring PDCCH </w:t>
      </w:r>
      <w:r w:rsidR="00520281">
        <w:t>unnecessarily</w:t>
      </w:r>
      <w:r w:rsidR="00520281">
        <w:t xml:space="preserve"> </w:t>
      </w:r>
      <w:r w:rsidR="00E3041C">
        <w:t xml:space="preserve">for an extended </w:t>
      </w:r>
      <w:proofErr w:type="gramStart"/>
      <w:r w:rsidR="00E3041C">
        <w:t>period of time</w:t>
      </w:r>
      <w:proofErr w:type="gramEnd"/>
      <w:r w:rsidR="00E3041C">
        <w:t xml:space="preserve">. </w:t>
      </w:r>
    </w:p>
    <w:p w14:paraId="54885230" w14:textId="16962EEC" w:rsidR="00E3041C" w:rsidRDefault="00E3041C" w:rsidP="00E624C1">
      <w:pPr>
        <w:rPr>
          <w:b/>
          <w:bCs/>
        </w:rPr>
      </w:pPr>
      <w:r>
        <w:rPr>
          <w:b/>
          <w:bCs/>
        </w:rPr>
        <w:t>Proposal 6: RAN2 to address the case where the UE must unnecessarily monitor PDCCH during the whole cell DTX/DRX non-active period after a missed SR.</w:t>
      </w:r>
    </w:p>
    <w:p w14:paraId="5D9C4315" w14:textId="6B088F56" w:rsidR="001237E9" w:rsidRPr="00520281" w:rsidRDefault="00E624C1" w:rsidP="001237E9">
      <w:pPr>
        <w:rPr>
          <w:b/>
          <w:bCs/>
        </w:rPr>
      </w:pPr>
      <w:r w:rsidRPr="004E7D8F">
        <w:rPr>
          <w:b/>
          <w:bCs/>
        </w:rPr>
        <w:t xml:space="preserve">Proposal </w:t>
      </w:r>
      <w:r w:rsidR="00E3041C">
        <w:rPr>
          <w:b/>
          <w:bCs/>
        </w:rPr>
        <w:t>7</w:t>
      </w:r>
      <w:r w:rsidRPr="004E7D8F">
        <w:rPr>
          <w:b/>
          <w:bCs/>
        </w:rPr>
        <w:t>: For SR that would be kept pending during cell DRX</w:t>
      </w:r>
      <w:r w:rsidR="00520281">
        <w:rPr>
          <w:b/>
          <w:bCs/>
        </w:rPr>
        <w:t>/DTX</w:t>
      </w:r>
      <w:r w:rsidRPr="004E7D8F">
        <w:rPr>
          <w:b/>
          <w:bCs/>
        </w:rPr>
        <w:t xml:space="preserve"> non-active period, a timer is configured by the gNB to control how long this SR can be kept pending</w:t>
      </w:r>
      <w:r w:rsidR="00520281">
        <w:rPr>
          <w:b/>
          <w:bCs/>
        </w:rPr>
        <w:t xml:space="preserve"> before triggering SR-RACH.</w:t>
      </w:r>
      <w:r w:rsidRPr="004E7D8F">
        <w:rPr>
          <w:b/>
          <w:bCs/>
        </w:rPr>
        <w:t xml:space="preserve"> </w:t>
      </w:r>
    </w:p>
    <w:p w14:paraId="588842FA" w14:textId="3F490721" w:rsidR="00D3723B" w:rsidRDefault="00D3723B" w:rsidP="00D3723B">
      <w:pPr>
        <w:pStyle w:val="Heading1"/>
      </w:pPr>
      <w:r>
        <w:t>Application of DCI2_9 activation signalling</w:t>
      </w:r>
    </w:p>
    <w:p w14:paraId="160232F6" w14:textId="06F02B77" w:rsidR="00D3723B" w:rsidRDefault="00D3723B" w:rsidP="00D3723B">
      <w:r>
        <w:t>It is unclear in the current spec. how quickly the UE should apply activation signalling after decoding DCI2_9. RAN2 has touched on this topic only in the following agreement:</w:t>
      </w:r>
    </w:p>
    <w:p w14:paraId="2A21EA21" w14:textId="77777777" w:rsidR="00D3723B" w:rsidRPr="00E6247A" w:rsidRDefault="00D3723B" w:rsidP="00D3723B">
      <w:pPr>
        <w:pStyle w:val="Doc-text2"/>
        <w:pBdr>
          <w:top w:val="single" w:sz="4" w:space="1" w:color="auto"/>
          <w:left w:val="single" w:sz="4" w:space="4" w:color="auto"/>
          <w:bottom w:val="single" w:sz="4" w:space="1" w:color="auto"/>
          <w:right w:val="single" w:sz="4" w:space="4" w:color="auto"/>
        </w:pBdr>
        <w:rPr>
          <w:b/>
          <w:bCs/>
          <w:lang w:eastAsia="zh-CN"/>
        </w:rPr>
      </w:pPr>
      <w:r w:rsidRPr="00E6247A">
        <w:rPr>
          <w:b/>
          <w:bCs/>
          <w:lang w:eastAsia="zh-CN"/>
        </w:rPr>
        <w:t>Agreements</w:t>
      </w:r>
      <w:r>
        <w:rPr>
          <w:b/>
          <w:bCs/>
          <w:lang w:eastAsia="zh-CN"/>
        </w:rPr>
        <w:t xml:space="preserve"> for MAC open issues</w:t>
      </w:r>
      <w:r w:rsidRPr="00E6247A">
        <w:rPr>
          <w:b/>
          <w:bCs/>
          <w:lang w:eastAsia="zh-CN"/>
        </w:rPr>
        <w:t>:</w:t>
      </w:r>
    </w:p>
    <w:p w14:paraId="721FB09A" w14:textId="77777777" w:rsidR="00D3723B" w:rsidRDefault="00D3723B" w:rsidP="00D3723B">
      <w:pPr>
        <w:pStyle w:val="Doc-text2"/>
        <w:numPr>
          <w:ilvl w:val="0"/>
          <w:numId w:val="15"/>
        </w:numPr>
        <w:pBdr>
          <w:top w:val="single" w:sz="4" w:space="1" w:color="auto"/>
          <w:left w:val="single" w:sz="4" w:space="4" w:color="auto"/>
          <w:bottom w:val="single" w:sz="4" w:space="1" w:color="auto"/>
          <w:right w:val="single" w:sz="4" w:space="4" w:color="auto"/>
        </w:pBdr>
        <w:rPr>
          <w:lang w:eastAsia="zh-CN"/>
        </w:rPr>
      </w:pPr>
      <w:r>
        <w:t xml:space="preserve">The case that </w:t>
      </w:r>
      <w:proofErr w:type="gramStart"/>
      <w:r w:rsidRPr="00E83E6F">
        <w:t>Cell</w:t>
      </w:r>
      <w:proofErr w:type="gramEnd"/>
      <w:r w:rsidRPr="00E83E6F">
        <w:t xml:space="preserve"> DRX activation </w:t>
      </w:r>
      <w:r>
        <w:t xml:space="preserve">is </w:t>
      </w:r>
      <w:r w:rsidRPr="00E83E6F">
        <w:t>received between delivering a configured grant to the HARQ entity and HARQ processing for the CGO</w:t>
      </w:r>
      <w:r>
        <w:t xml:space="preserve"> will not be addressed by RAN2, as it is not valid for the MAC model.  </w:t>
      </w:r>
    </w:p>
    <w:p w14:paraId="54390281" w14:textId="77777777" w:rsidR="00D3723B" w:rsidRDefault="00D3723B" w:rsidP="00D3723B"/>
    <w:p w14:paraId="36A0D730" w14:textId="2FFB5D5A" w:rsidR="00D3723B" w:rsidRDefault="00D3723B" w:rsidP="00D3723B">
      <w:r>
        <w:t>Thus, RAN2 has already assumed in our understanding a floor for activation delay that is somewhat reasonable. However, there are concerns about when exactly the UE starts applying the serving cell (de)activation rules especially for mixed numerology serving cells. To avoid having a lot of discussions on the slot granularity of the MAC spec., we suggest the following simple rule on application of DCI2_9:</w:t>
      </w:r>
    </w:p>
    <w:p w14:paraId="0002199F" w14:textId="3E21E60D" w:rsidR="00D3723B" w:rsidRPr="00D3723B" w:rsidRDefault="00D3723B" w:rsidP="00D3723B">
      <w:pPr>
        <w:rPr>
          <w:b/>
          <w:bCs/>
        </w:rPr>
      </w:pPr>
      <w:r w:rsidRPr="00D3723B">
        <w:rPr>
          <w:b/>
          <w:bCs/>
        </w:rPr>
        <w:t xml:space="preserve">Proposal </w:t>
      </w:r>
      <w:r w:rsidR="00520281">
        <w:rPr>
          <w:b/>
          <w:bCs/>
        </w:rPr>
        <w:t>8</w:t>
      </w:r>
      <w:r w:rsidRPr="00D3723B">
        <w:rPr>
          <w:b/>
          <w:bCs/>
        </w:rPr>
        <w:t>: When the UE decodes DCI2_9 containing new cell DTX/DRX (de)activation information, RAN2 to discuss the following two options for when the UE starts applying the new (de)activation:</w:t>
      </w:r>
    </w:p>
    <w:p w14:paraId="7AB5F367" w14:textId="50D00155" w:rsidR="00D3723B" w:rsidRPr="00D3723B" w:rsidRDefault="00D3723B" w:rsidP="00D3723B">
      <w:pPr>
        <w:pStyle w:val="ListParagraph"/>
        <w:numPr>
          <w:ilvl w:val="0"/>
          <w:numId w:val="20"/>
        </w:numPr>
        <w:rPr>
          <w:b/>
          <w:bCs/>
        </w:rPr>
      </w:pPr>
      <w:r w:rsidRPr="00D3723B">
        <w:rPr>
          <w:b/>
          <w:bCs/>
        </w:rPr>
        <w:t>Option 1: UE applies the (de)activation starting from the new Cell DTX cycle for each cell separately.</w:t>
      </w:r>
    </w:p>
    <w:p w14:paraId="0127BE25" w14:textId="70FB053D" w:rsidR="00D3723B" w:rsidRDefault="00D3723B" w:rsidP="00D3723B">
      <w:pPr>
        <w:pStyle w:val="ListParagraph"/>
        <w:numPr>
          <w:ilvl w:val="0"/>
          <w:numId w:val="20"/>
        </w:numPr>
        <w:rPr>
          <w:b/>
          <w:bCs/>
        </w:rPr>
      </w:pPr>
      <w:r w:rsidRPr="00D3723B">
        <w:rPr>
          <w:b/>
          <w:bCs/>
        </w:rPr>
        <w:t xml:space="preserve">Option 2: UE applies the (de)activation uniformly starting from the new CDRX cycle. </w:t>
      </w:r>
    </w:p>
    <w:p w14:paraId="1BA2C810" w14:textId="77777777" w:rsidR="001237E9" w:rsidRDefault="001237E9" w:rsidP="001237E9">
      <w:pPr>
        <w:pStyle w:val="Heading1"/>
      </w:pPr>
      <w:r>
        <w:t>Non-overlapping Cell DTX and C-DRX patterns</w:t>
      </w:r>
    </w:p>
    <w:p w14:paraId="4EE1D0DF" w14:textId="45922BEF" w:rsidR="001237E9" w:rsidRDefault="00520281" w:rsidP="001237E9">
      <w:r>
        <w:t>In RAN2 #123 the following was agreed</w:t>
      </w:r>
      <w:r w:rsidR="001237E9">
        <w:t>:</w:t>
      </w:r>
    </w:p>
    <w:p w14:paraId="4816EAA8" w14:textId="77777777" w:rsidR="001237E9" w:rsidRPr="00400451" w:rsidRDefault="001237E9" w:rsidP="001237E9">
      <w:pPr>
        <w:pStyle w:val="Doc-text2"/>
        <w:pBdr>
          <w:top w:val="single" w:sz="4" w:space="1" w:color="auto"/>
          <w:left w:val="single" w:sz="4" w:space="31" w:color="auto"/>
          <w:bottom w:val="single" w:sz="4" w:space="1" w:color="auto"/>
          <w:right w:val="single" w:sz="4" w:space="4" w:color="auto"/>
        </w:pBdr>
      </w:pPr>
      <w:r w:rsidRPr="00AC6564">
        <w:t xml:space="preserve">The gNB </w:t>
      </w:r>
      <w:r>
        <w:t xml:space="preserve">should </w:t>
      </w:r>
      <w:r w:rsidRPr="00AC6564">
        <w:t>ensures that there is at least partial overlapping between UE C-DRX on-</w:t>
      </w:r>
      <w:r w:rsidRPr="00400451">
        <w:t xml:space="preserve">duration and cell DTX/DRX on-duration.  It is up to network implementation to ensure the alignment.  We will capture this in stage 2 specification.  </w:t>
      </w:r>
    </w:p>
    <w:p w14:paraId="3234FB3C" w14:textId="77777777" w:rsidR="001237E9" w:rsidRDefault="001237E9" w:rsidP="001237E9">
      <w:pPr>
        <w:pStyle w:val="Doc-text2"/>
        <w:pBdr>
          <w:top w:val="single" w:sz="4" w:space="1" w:color="auto"/>
          <w:left w:val="single" w:sz="4" w:space="31" w:color="auto"/>
          <w:bottom w:val="single" w:sz="4" w:space="1" w:color="auto"/>
          <w:right w:val="single" w:sz="4" w:space="4" w:color="auto"/>
        </w:pBdr>
      </w:pPr>
      <w:r w:rsidRPr="00400451">
        <w:tab/>
        <w:t xml:space="preserve">Understanding </w:t>
      </w:r>
      <w:r>
        <w:t xml:space="preserve">is </w:t>
      </w:r>
      <w:r w:rsidRPr="00400451">
        <w:t xml:space="preserve">that alignment means that the cell DTX/DRX and C-DRX periodicity should be multiple of each other.   </w:t>
      </w:r>
      <w:r w:rsidRPr="00520281">
        <w:t>FFS if we anything needs to be specified in stage 3 (</w:t>
      </w:r>
      <w:proofErr w:type="gramStart"/>
      <w:r w:rsidRPr="00520281">
        <w:t>i.e.</w:t>
      </w:r>
      <w:proofErr w:type="gramEnd"/>
      <w:r w:rsidRPr="00520281">
        <w:t xml:space="preserve"> in IE description)</w:t>
      </w:r>
    </w:p>
    <w:p w14:paraId="3596FC39" w14:textId="77777777" w:rsidR="001237E9" w:rsidRDefault="001237E9" w:rsidP="001237E9"/>
    <w:p w14:paraId="7C56DEDC" w14:textId="79285186" w:rsidR="001237E9" w:rsidRDefault="001237E9" w:rsidP="001237E9">
      <w:r>
        <w:t>First, we would like to separate the alignment agreements into two sub-cases:</w:t>
      </w:r>
    </w:p>
    <w:p w14:paraId="2BB09B0E" w14:textId="77777777" w:rsidR="001237E9" w:rsidRDefault="001237E9" w:rsidP="001237E9">
      <w:pPr>
        <w:rPr>
          <w:lang w:val="en-US"/>
        </w:rPr>
      </w:pPr>
      <w:r w:rsidRPr="00F11B50">
        <w:rPr>
          <w:lang w:val="en-US"/>
        </w:rPr>
        <w:t>Case 1: UE C-DRX periodicity i</w:t>
      </w:r>
      <w:r>
        <w:rPr>
          <w:lang w:val="en-US"/>
        </w:rPr>
        <w:t xml:space="preserve">s an integer multiple of Cell DTX periodicity. </w:t>
      </w:r>
    </w:p>
    <w:p w14:paraId="313928C0" w14:textId="77777777" w:rsidR="001237E9" w:rsidRPr="00F11B50" w:rsidRDefault="001237E9" w:rsidP="001237E9">
      <w:pPr>
        <w:rPr>
          <w:lang w:val="en-US"/>
        </w:rPr>
      </w:pPr>
      <w:r>
        <w:rPr>
          <w:noProof/>
        </w:rPr>
        <w:lastRenderedPageBreak/>
        <w:drawing>
          <wp:anchor distT="0" distB="0" distL="114300" distR="114300" simplePos="0" relativeHeight="251662336" behindDoc="1" locked="0" layoutInCell="1" allowOverlap="1" wp14:anchorId="566843F2" wp14:editId="790390D9">
            <wp:simplePos x="0" y="0"/>
            <wp:positionH relativeFrom="margin">
              <wp:posOffset>304800</wp:posOffset>
            </wp:positionH>
            <wp:positionV relativeFrom="paragraph">
              <wp:posOffset>260350</wp:posOffset>
            </wp:positionV>
            <wp:extent cx="5010150" cy="1864360"/>
            <wp:effectExtent l="0" t="0" r="0" b="2540"/>
            <wp:wrapTopAndBottom/>
            <wp:docPr id="1612718043" name="Picture 1612718043" descr="A graph with black squares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583829" name="Picture 1" descr="A graph with black squares and white tex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010150" cy="1864360"/>
                    </a:xfrm>
                    <a:prstGeom prst="rect">
                      <a:avLst/>
                    </a:prstGeom>
                  </pic:spPr>
                </pic:pic>
              </a:graphicData>
            </a:graphic>
            <wp14:sizeRelH relativeFrom="margin">
              <wp14:pctWidth>0</wp14:pctWidth>
            </wp14:sizeRelH>
            <wp14:sizeRelV relativeFrom="margin">
              <wp14:pctHeight>0</wp14:pctHeight>
            </wp14:sizeRelV>
          </wp:anchor>
        </w:drawing>
      </w:r>
      <w:r>
        <w:rPr>
          <w:lang w:val="en-US"/>
        </w:rPr>
        <w:t xml:space="preserve">This case is well understood and has been discussed a lot in RAN2. </w:t>
      </w:r>
    </w:p>
    <w:p w14:paraId="78DD1E38" w14:textId="77777777" w:rsidR="001237E9" w:rsidRDefault="001237E9" w:rsidP="001237E9"/>
    <w:p w14:paraId="55DD4DB1" w14:textId="77777777" w:rsidR="001237E9" w:rsidRDefault="001237E9" w:rsidP="001237E9">
      <w:r>
        <w:t>Case 2: Cell DTX Periodicity in an integer multiple of UE C-DRX periodicity</w:t>
      </w:r>
    </w:p>
    <w:p w14:paraId="25FA692D" w14:textId="77777777" w:rsidR="001237E9" w:rsidRDefault="001237E9" w:rsidP="001237E9">
      <w:r>
        <w:rPr>
          <w:noProof/>
        </w:rPr>
        <w:drawing>
          <wp:inline distT="0" distB="0" distL="0" distR="0" wp14:anchorId="18D8D14A" wp14:editId="50E1D27B">
            <wp:extent cx="6122035" cy="2049780"/>
            <wp:effectExtent l="0" t="0" r="0" b="7620"/>
            <wp:docPr id="803628353" name="Picture 803628353"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406344" name="Picture 1" descr="A diagram of a graph&#10;&#10;Description automatically generated"/>
                    <pic:cNvPicPr/>
                  </pic:nvPicPr>
                  <pic:blipFill>
                    <a:blip r:embed="rId15"/>
                    <a:stretch>
                      <a:fillRect/>
                    </a:stretch>
                  </pic:blipFill>
                  <pic:spPr>
                    <a:xfrm>
                      <a:off x="0" y="0"/>
                      <a:ext cx="6122035" cy="2049780"/>
                    </a:xfrm>
                    <a:prstGeom prst="rect">
                      <a:avLst/>
                    </a:prstGeom>
                  </pic:spPr>
                </pic:pic>
              </a:graphicData>
            </a:graphic>
          </wp:inline>
        </w:drawing>
      </w:r>
    </w:p>
    <w:p w14:paraId="12A1B014" w14:textId="77777777" w:rsidR="001237E9" w:rsidRDefault="001237E9" w:rsidP="001237E9">
      <w:r>
        <w:t>This is a new case that needs a little bit more thinking. Note that RAN2 has agreed that:</w:t>
      </w:r>
    </w:p>
    <w:p w14:paraId="5FECA2BD" w14:textId="77777777" w:rsidR="001237E9" w:rsidRPr="00AC6564" w:rsidRDefault="001237E9" w:rsidP="001237E9">
      <w:pPr>
        <w:pStyle w:val="Doc-text2"/>
        <w:pBdr>
          <w:top w:val="single" w:sz="4" w:space="1" w:color="auto"/>
          <w:left w:val="single" w:sz="4" w:space="4" w:color="auto"/>
          <w:bottom w:val="single" w:sz="4" w:space="1" w:color="auto"/>
          <w:right w:val="single" w:sz="4" w:space="4" w:color="auto"/>
        </w:pBdr>
      </w:pPr>
      <w:r>
        <w:t>5</w:t>
      </w:r>
      <w:r>
        <w:tab/>
      </w:r>
      <w:r w:rsidRPr="00AC6564">
        <w:t xml:space="preserve">RAN2 specifies </w:t>
      </w:r>
      <w:proofErr w:type="spellStart"/>
      <w:r w:rsidRPr="00AC6564">
        <w:rPr>
          <w:i/>
        </w:rPr>
        <w:t>cellDTX-onDurationTimer</w:t>
      </w:r>
      <w:proofErr w:type="spellEnd"/>
      <w:r w:rsidRPr="00AC6564">
        <w:t xml:space="preserve"> (and </w:t>
      </w:r>
      <w:proofErr w:type="spellStart"/>
      <w:r w:rsidRPr="00AC6564">
        <w:rPr>
          <w:i/>
        </w:rPr>
        <w:t>cellDRX-onDurationTimer</w:t>
      </w:r>
      <w:proofErr w:type="spellEnd"/>
      <w:r w:rsidRPr="00AC6564">
        <w:t xml:space="preserve">) to have the same value range as UE C-DRX on-duration timer. </w:t>
      </w:r>
    </w:p>
    <w:p w14:paraId="142C24B3" w14:textId="77777777" w:rsidR="001237E9" w:rsidRDefault="001237E9" w:rsidP="001237E9">
      <w:pPr>
        <w:pStyle w:val="Doc-text2"/>
        <w:pBdr>
          <w:top w:val="single" w:sz="4" w:space="1" w:color="auto"/>
          <w:left w:val="single" w:sz="4" w:space="4" w:color="auto"/>
          <w:bottom w:val="single" w:sz="4" w:space="1" w:color="auto"/>
          <w:right w:val="single" w:sz="4" w:space="4" w:color="auto"/>
        </w:pBdr>
      </w:pPr>
      <w:r>
        <w:t>6</w:t>
      </w:r>
      <w:r>
        <w:tab/>
      </w:r>
      <w:r w:rsidRPr="00AC6564">
        <w:t xml:space="preserve">RAN2 specifies </w:t>
      </w:r>
      <w:proofErr w:type="spellStart"/>
      <w:r w:rsidRPr="00AC6564">
        <w:rPr>
          <w:i/>
        </w:rPr>
        <w:t>cellDTX</w:t>
      </w:r>
      <w:proofErr w:type="spellEnd"/>
      <w:r w:rsidRPr="00AC6564">
        <w:rPr>
          <w:i/>
        </w:rPr>
        <w:t>-Cycle</w:t>
      </w:r>
      <w:r w:rsidRPr="00AC6564">
        <w:t xml:space="preserve"> (and </w:t>
      </w:r>
      <w:proofErr w:type="spellStart"/>
      <w:r w:rsidRPr="00AC6564">
        <w:rPr>
          <w:i/>
        </w:rPr>
        <w:t>cellDRX</w:t>
      </w:r>
      <w:proofErr w:type="spellEnd"/>
      <w:r w:rsidRPr="00AC6564">
        <w:rPr>
          <w:i/>
        </w:rPr>
        <w:t>-Cycle</w:t>
      </w:r>
      <w:r w:rsidRPr="00AC6564">
        <w:t xml:space="preserve">) to have the same value range as UE C-DRX Long cycle. </w:t>
      </w:r>
    </w:p>
    <w:p w14:paraId="7C889A0D" w14:textId="77777777" w:rsidR="001237E9" w:rsidRDefault="001237E9" w:rsidP="001237E9">
      <w:r>
        <w:t>Inspecting C-DRX configuration ON duration timer and cycle length in the RRC spec:</w:t>
      </w:r>
    </w:p>
    <w:p w14:paraId="1F8AD950"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DRX-Config ::=                      </w:t>
      </w:r>
      <w:r w:rsidRPr="00275202">
        <w:rPr>
          <w:rFonts w:ascii="Courier New" w:eastAsia="Times New Roman" w:hAnsi="Courier New"/>
          <w:noProof/>
          <w:color w:val="993366"/>
          <w:sz w:val="16"/>
          <w:lang w:eastAsia="en-GB"/>
        </w:rPr>
        <w:t>SEQUENCE</w:t>
      </w:r>
      <w:r w:rsidRPr="00275202">
        <w:rPr>
          <w:rFonts w:ascii="Courier New" w:eastAsia="Times New Roman" w:hAnsi="Courier New"/>
          <w:noProof/>
          <w:sz w:val="16"/>
          <w:lang w:eastAsia="en-GB"/>
        </w:rPr>
        <w:t xml:space="preserve"> {</w:t>
      </w:r>
    </w:p>
    <w:p w14:paraId="2CBF9DD1"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drx-onDurationTimer                 </w:t>
      </w:r>
      <w:r w:rsidRPr="00275202">
        <w:rPr>
          <w:rFonts w:ascii="Courier New" w:eastAsia="Times New Roman" w:hAnsi="Courier New"/>
          <w:noProof/>
          <w:color w:val="993366"/>
          <w:sz w:val="16"/>
          <w:lang w:eastAsia="en-GB"/>
        </w:rPr>
        <w:t>CHOICE</w:t>
      </w:r>
      <w:r w:rsidRPr="00275202">
        <w:rPr>
          <w:rFonts w:ascii="Courier New" w:eastAsia="Times New Roman" w:hAnsi="Courier New"/>
          <w:noProof/>
          <w:sz w:val="16"/>
          <w:lang w:eastAsia="en-GB"/>
        </w:rPr>
        <w:t xml:space="preserve"> {</w:t>
      </w:r>
    </w:p>
    <w:p w14:paraId="4E1626E7"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subMilliSeconds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 xml:space="preserve"> (1..31),</w:t>
      </w:r>
    </w:p>
    <w:p w14:paraId="42DF4CCD"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milliSeconds    </w:t>
      </w:r>
      <w:r w:rsidRPr="00275202">
        <w:rPr>
          <w:rFonts w:ascii="Courier New" w:eastAsia="Times New Roman" w:hAnsi="Courier New"/>
          <w:noProof/>
          <w:color w:val="993366"/>
          <w:sz w:val="16"/>
          <w:lang w:eastAsia="en-GB"/>
        </w:rPr>
        <w:t>ENUMERATED</w:t>
      </w:r>
      <w:r w:rsidRPr="00275202">
        <w:rPr>
          <w:rFonts w:ascii="Courier New" w:eastAsia="Times New Roman" w:hAnsi="Courier New"/>
          <w:noProof/>
          <w:sz w:val="16"/>
          <w:lang w:eastAsia="en-GB"/>
        </w:rPr>
        <w:t xml:space="preserve"> {</w:t>
      </w:r>
    </w:p>
    <w:p w14:paraId="0B9228FF"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ms1, ms2, ms3, ms4, ms5, ms6, ms8, ms10, ms20, ms30, ms40, ms50, ms60</w:t>
      </w:r>
      <w:r w:rsidRPr="000F618B">
        <w:rPr>
          <w:rFonts w:ascii="Courier New" w:eastAsia="Times New Roman" w:hAnsi="Courier New"/>
          <w:noProof/>
          <w:sz w:val="16"/>
          <w:lang w:eastAsia="en-GB"/>
        </w:rPr>
        <w:t>,</w:t>
      </w:r>
      <w:r w:rsidRPr="00275202">
        <w:rPr>
          <w:rFonts w:ascii="Courier New" w:eastAsia="Times New Roman" w:hAnsi="Courier New"/>
          <w:noProof/>
          <w:sz w:val="16"/>
          <w:lang w:eastAsia="en-GB"/>
        </w:rPr>
        <w:t xml:space="preserve"> ms80, ms100, ms200, ms300, ms400, ms500, ms600, ms800, ms1000, ms1200,</w:t>
      </w:r>
    </w:p>
    <w:p w14:paraId="013B6DEC"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ms1600, spare8, spare7, spare6, spare5, spare4, spare3, spare2, spare1 }</w:t>
      </w:r>
    </w:p>
    <w:p w14:paraId="5FF49B73"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w:t>
      </w:r>
    </w:p>
    <w:p w14:paraId="45FC64C4"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spare8, spare7, spare6, spare5, spare4, spare3, spare2, spare1 },</w:t>
      </w:r>
    </w:p>
    <w:p w14:paraId="7EB29E46"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drx-LongCycleStartOffset            </w:t>
      </w:r>
      <w:r w:rsidRPr="00275202">
        <w:rPr>
          <w:rFonts w:ascii="Courier New" w:eastAsia="Times New Roman" w:hAnsi="Courier New"/>
          <w:noProof/>
          <w:color w:val="993366"/>
          <w:sz w:val="16"/>
          <w:lang w:eastAsia="en-GB"/>
        </w:rPr>
        <w:t>CHOICE</w:t>
      </w:r>
      <w:r w:rsidRPr="00275202">
        <w:rPr>
          <w:rFonts w:ascii="Courier New" w:eastAsia="Times New Roman" w:hAnsi="Courier New"/>
          <w:noProof/>
          <w:sz w:val="16"/>
          <w:lang w:eastAsia="en-GB"/>
        </w:rPr>
        <w:t xml:space="preserve"> {</w:t>
      </w:r>
    </w:p>
    <w:p w14:paraId="256ED2ED"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ms10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(0..9),</w:t>
      </w:r>
    </w:p>
    <w:p w14:paraId="279E8C5D"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ms20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(0..19),</w:t>
      </w:r>
    </w:p>
    <w:p w14:paraId="087BA374"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ms32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(0..31),</w:t>
      </w:r>
    </w:p>
    <w:p w14:paraId="0A3A608D"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ms40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(0..39),</w:t>
      </w:r>
    </w:p>
    <w:p w14:paraId="7C96B8AB"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ms60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(0..59),</w:t>
      </w:r>
    </w:p>
    <w:p w14:paraId="3D3761D8"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ms64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(0..63),</w:t>
      </w:r>
    </w:p>
    <w:p w14:paraId="10B180B3"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ms70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(0..69),</w:t>
      </w:r>
    </w:p>
    <w:p w14:paraId="04A315B8"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ms80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(0..79),</w:t>
      </w:r>
    </w:p>
    <w:p w14:paraId="7F84DA47"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ms128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(0..127),</w:t>
      </w:r>
    </w:p>
    <w:p w14:paraId="26B6DCF7"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ms160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(0..159),</w:t>
      </w:r>
    </w:p>
    <w:p w14:paraId="5047BD48"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ms256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(0..255),</w:t>
      </w:r>
    </w:p>
    <w:p w14:paraId="6B354CEB"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ms320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(0..319),</w:t>
      </w:r>
    </w:p>
    <w:p w14:paraId="76D4C46F"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ms512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(0..511),</w:t>
      </w:r>
    </w:p>
    <w:p w14:paraId="5B80DA46"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ms640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(0..639),</w:t>
      </w:r>
    </w:p>
    <w:p w14:paraId="79428452"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ms1024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(0..1023),</w:t>
      </w:r>
    </w:p>
    <w:p w14:paraId="07DB3647"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ms1280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(0..1279),</w:t>
      </w:r>
    </w:p>
    <w:p w14:paraId="7FBDF843"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lastRenderedPageBreak/>
        <w:t xml:space="preserve">        ms2048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(0..2047),</w:t>
      </w:r>
    </w:p>
    <w:p w14:paraId="35EA2491"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ms2560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(0..2559),</w:t>
      </w:r>
    </w:p>
    <w:p w14:paraId="72899CD3"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ms5120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(0..5119),</w:t>
      </w:r>
    </w:p>
    <w:p w14:paraId="245235CD"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ms10240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(0..10239)</w:t>
      </w:r>
    </w:p>
    <w:p w14:paraId="00E6C9BA" w14:textId="77777777" w:rsidR="001237E9" w:rsidRPr="00275202" w:rsidRDefault="001237E9" w:rsidP="00123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w:t>
      </w:r>
    </w:p>
    <w:p w14:paraId="30D5864A" w14:textId="77777777" w:rsidR="001237E9" w:rsidRDefault="001237E9" w:rsidP="001237E9">
      <w:r>
        <w:t xml:space="preserve">Most of the values available would </w:t>
      </w:r>
      <w:proofErr w:type="gramStart"/>
      <w:r>
        <w:t>actually not</w:t>
      </w:r>
      <w:proofErr w:type="gramEnd"/>
      <w:r>
        <w:t xml:space="preserve"> guarantee a partial overlap with the C-DRX ON duration all the time, in fact other than the configurations where the ON duration and cycle length are very close in value, partial overlap is not possible.</w:t>
      </w:r>
    </w:p>
    <w:p w14:paraId="0A8D94B0" w14:textId="3448F9B6" w:rsidR="001237E9" w:rsidRPr="00266654" w:rsidRDefault="001237E9" w:rsidP="001237E9">
      <w:pPr>
        <w:rPr>
          <w:b/>
          <w:bCs/>
        </w:rPr>
      </w:pPr>
      <w:r w:rsidRPr="00266654">
        <w:rPr>
          <w:b/>
          <w:bCs/>
        </w:rPr>
        <w:t xml:space="preserve">Observation </w:t>
      </w:r>
      <w:r w:rsidR="00520281">
        <w:rPr>
          <w:b/>
          <w:bCs/>
        </w:rPr>
        <w:t>5</w:t>
      </w:r>
      <w:r w:rsidRPr="00266654">
        <w:rPr>
          <w:b/>
          <w:bCs/>
        </w:rPr>
        <w:t xml:space="preserve">: Partial </w:t>
      </w:r>
      <w:r>
        <w:rPr>
          <w:b/>
          <w:bCs/>
        </w:rPr>
        <w:t>overlap</w:t>
      </w:r>
      <w:r w:rsidRPr="00266654">
        <w:rPr>
          <w:b/>
          <w:bCs/>
        </w:rPr>
        <w:t xml:space="preserve"> cannot be achieved when Cell DTX Periodicity in an integer multiple of UE C-DRX periodicity except for very limited cases with limited NES gains. </w:t>
      </w:r>
    </w:p>
    <w:p w14:paraId="748DCDB5" w14:textId="77777777" w:rsidR="001237E9" w:rsidRDefault="001237E9" w:rsidP="001237E9">
      <w:r>
        <w:t>An illustrative example given below with P=2, and ON duration configured to be half of the cycle length:</w:t>
      </w:r>
    </w:p>
    <w:p w14:paraId="7F198FED" w14:textId="77777777" w:rsidR="001237E9" w:rsidRDefault="001237E9" w:rsidP="001237E9">
      <w:r>
        <w:rPr>
          <w:noProof/>
        </w:rPr>
        <w:drawing>
          <wp:inline distT="0" distB="0" distL="0" distR="0" wp14:anchorId="0254A748" wp14:editId="04A22C88">
            <wp:extent cx="6122035" cy="2146300"/>
            <wp:effectExtent l="0" t="0" r="0" b="6350"/>
            <wp:docPr id="696005765" name="Picture 696005765"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785637" name="Picture 1" descr="A diagram of a graph&#10;&#10;Description automatically generated"/>
                    <pic:cNvPicPr/>
                  </pic:nvPicPr>
                  <pic:blipFill>
                    <a:blip r:embed="rId16"/>
                    <a:stretch>
                      <a:fillRect/>
                    </a:stretch>
                  </pic:blipFill>
                  <pic:spPr>
                    <a:xfrm>
                      <a:off x="0" y="0"/>
                      <a:ext cx="6122035" cy="2146300"/>
                    </a:xfrm>
                    <a:prstGeom prst="rect">
                      <a:avLst/>
                    </a:prstGeom>
                  </pic:spPr>
                </pic:pic>
              </a:graphicData>
            </a:graphic>
          </wp:inline>
        </w:drawing>
      </w:r>
    </w:p>
    <w:p w14:paraId="12B36060" w14:textId="42EA32DD" w:rsidR="001237E9" w:rsidRDefault="001237E9" w:rsidP="001237E9">
      <w:pPr>
        <w:rPr>
          <w:b/>
          <w:bCs/>
        </w:rPr>
      </w:pPr>
      <w:r w:rsidRPr="002A5E9F">
        <w:rPr>
          <w:b/>
          <w:bCs/>
        </w:rPr>
        <w:t xml:space="preserve">Proposal </w:t>
      </w:r>
      <w:r w:rsidR="00A922D6">
        <w:rPr>
          <w:b/>
          <w:bCs/>
        </w:rPr>
        <w:t>9</w:t>
      </w:r>
      <w:r w:rsidRPr="002A5E9F">
        <w:rPr>
          <w:b/>
          <w:bCs/>
        </w:rPr>
        <w:t>: RAN2 to discuss between the following two options for the case when Cell DTX Periodicity in an integer multiple of UE C-DRX periodicity</w:t>
      </w:r>
      <w:r>
        <w:rPr>
          <w:b/>
          <w:bCs/>
        </w:rPr>
        <w:t>:</w:t>
      </w:r>
    </w:p>
    <w:p w14:paraId="0684FE4C" w14:textId="77777777" w:rsidR="001237E9" w:rsidRDefault="001237E9" w:rsidP="001237E9">
      <w:pPr>
        <w:pStyle w:val="ListParagraph"/>
        <w:numPr>
          <w:ilvl w:val="0"/>
          <w:numId w:val="9"/>
        </w:numPr>
        <w:rPr>
          <w:b/>
          <w:bCs/>
        </w:rPr>
      </w:pPr>
      <w:r>
        <w:rPr>
          <w:b/>
          <w:bCs/>
        </w:rPr>
        <w:t xml:space="preserve">Only configurations that guarantee partial overlap are valid. </w:t>
      </w:r>
    </w:p>
    <w:p w14:paraId="371C5EA9" w14:textId="77777777" w:rsidR="001237E9" w:rsidRDefault="001237E9" w:rsidP="001237E9">
      <w:pPr>
        <w:pStyle w:val="ListParagraph"/>
        <w:numPr>
          <w:ilvl w:val="0"/>
          <w:numId w:val="9"/>
        </w:numPr>
        <w:rPr>
          <w:b/>
          <w:bCs/>
        </w:rPr>
      </w:pPr>
      <w:r>
        <w:rPr>
          <w:b/>
          <w:bCs/>
        </w:rPr>
        <w:t xml:space="preserve">Configurations that don’t guarantee partial overlap are valid, the UE does not start DRX long cycle in non-overlapped ON duration occasions. </w:t>
      </w:r>
    </w:p>
    <w:p w14:paraId="104AAB85" w14:textId="77777777" w:rsidR="001237E9" w:rsidRDefault="001237E9" w:rsidP="00410FDA">
      <w:pPr>
        <w:rPr>
          <w:b/>
          <w:bCs/>
        </w:rPr>
      </w:pPr>
    </w:p>
    <w:p w14:paraId="0E224C59" w14:textId="286FFA00" w:rsidR="0096408F" w:rsidRDefault="0096408F" w:rsidP="00896A70">
      <w:pPr>
        <w:pStyle w:val="Heading1"/>
      </w:pPr>
      <w:r>
        <w:t>Conclusion</w:t>
      </w:r>
    </w:p>
    <w:p w14:paraId="6A438E65" w14:textId="77777777" w:rsidR="00A922D6" w:rsidRDefault="00A922D6" w:rsidP="00A922D6">
      <w:pPr>
        <w:rPr>
          <w:b/>
          <w:bCs/>
        </w:rPr>
      </w:pPr>
      <w:r w:rsidRPr="00092618">
        <w:rPr>
          <w:b/>
          <w:bCs/>
        </w:rPr>
        <w:t>Observation 1: Variability in ON-durations between serving cell patterns that are close in frequency complicate PDCCH monitoring and blind decoding at the UE due to possible per-occasion variability in PDCCH.</w:t>
      </w:r>
    </w:p>
    <w:p w14:paraId="3CBA965A" w14:textId="77777777" w:rsidR="00A922D6" w:rsidRPr="00092618" w:rsidRDefault="00A922D6" w:rsidP="00A922D6">
      <w:pPr>
        <w:rPr>
          <w:b/>
          <w:bCs/>
        </w:rPr>
      </w:pPr>
      <w:r w:rsidRPr="00092618">
        <w:rPr>
          <w:b/>
          <w:bCs/>
        </w:rPr>
        <w:t>Proposal 1: RAN2 to discuss the following two options on ON-duration alignment between Cell DTX patterns:</w:t>
      </w:r>
    </w:p>
    <w:p w14:paraId="5D26D67B" w14:textId="77777777" w:rsidR="00A922D6" w:rsidRPr="00092618" w:rsidRDefault="00A922D6" w:rsidP="00A922D6">
      <w:pPr>
        <w:pStyle w:val="ListParagraph"/>
        <w:numPr>
          <w:ilvl w:val="0"/>
          <w:numId w:val="18"/>
        </w:numPr>
        <w:rPr>
          <w:b/>
          <w:bCs/>
        </w:rPr>
      </w:pPr>
      <w:r w:rsidRPr="00092618">
        <w:rPr>
          <w:b/>
          <w:bCs/>
        </w:rPr>
        <w:t>Option 1: ON duration is common for all serving cell DTX patterns in the same frequency range.</w:t>
      </w:r>
    </w:p>
    <w:p w14:paraId="35FF1A14" w14:textId="77777777" w:rsidR="00A922D6" w:rsidRDefault="00A922D6" w:rsidP="00A922D6">
      <w:pPr>
        <w:pStyle w:val="ListParagraph"/>
        <w:numPr>
          <w:ilvl w:val="0"/>
          <w:numId w:val="18"/>
        </w:numPr>
        <w:rPr>
          <w:b/>
          <w:bCs/>
        </w:rPr>
      </w:pPr>
      <w:r w:rsidRPr="00092618">
        <w:rPr>
          <w:b/>
          <w:bCs/>
        </w:rPr>
        <w:t>Option 2: ON duration is common for all serving cell DTX pattern</w:t>
      </w:r>
      <w:r>
        <w:rPr>
          <w:b/>
          <w:bCs/>
        </w:rPr>
        <w:t>s</w:t>
      </w:r>
      <w:r w:rsidRPr="00092618">
        <w:rPr>
          <w:b/>
          <w:bCs/>
        </w:rPr>
        <w:t xml:space="preserve"> in the same frequency band. </w:t>
      </w:r>
    </w:p>
    <w:p w14:paraId="1698529A" w14:textId="77777777" w:rsidR="00A922D6" w:rsidRDefault="00A922D6" w:rsidP="00A922D6">
      <w:pPr>
        <w:rPr>
          <w:b/>
          <w:bCs/>
        </w:rPr>
      </w:pPr>
      <w:r w:rsidRPr="00335FA2">
        <w:rPr>
          <w:b/>
          <w:bCs/>
        </w:rPr>
        <w:t xml:space="preserve">Proposal 3: The patterns that allow </w:t>
      </w:r>
      <w:proofErr w:type="spellStart"/>
      <w:r w:rsidRPr="00335FA2">
        <w:rPr>
          <w:b/>
          <w:bCs/>
        </w:rPr>
        <w:t>S</w:t>
      </w:r>
      <w:r>
        <w:rPr>
          <w:b/>
          <w:bCs/>
        </w:rPr>
        <w:t>C</w:t>
      </w:r>
      <w:r w:rsidRPr="00335FA2">
        <w:rPr>
          <w:b/>
          <w:bCs/>
        </w:rPr>
        <w:t>ell</w:t>
      </w:r>
      <w:proofErr w:type="spellEnd"/>
      <w:r w:rsidRPr="00335FA2">
        <w:rPr>
          <w:b/>
          <w:bCs/>
        </w:rPr>
        <w:t xml:space="preserve"> to be in active period with </w:t>
      </w:r>
      <w:proofErr w:type="spellStart"/>
      <w:r w:rsidRPr="00335FA2">
        <w:rPr>
          <w:b/>
          <w:bCs/>
        </w:rPr>
        <w:t>S</w:t>
      </w:r>
      <w:r>
        <w:rPr>
          <w:b/>
          <w:bCs/>
        </w:rPr>
        <w:t>p</w:t>
      </w:r>
      <w:r w:rsidRPr="00335FA2">
        <w:rPr>
          <w:b/>
          <w:bCs/>
        </w:rPr>
        <w:t>cell</w:t>
      </w:r>
      <w:proofErr w:type="spellEnd"/>
      <w:r w:rsidRPr="00335FA2">
        <w:rPr>
          <w:b/>
          <w:bCs/>
        </w:rPr>
        <w:t>/</w:t>
      </w:r>
      <w:proofErr w:type="spellStart"/>
      <w:r w:rsidRPr="00335FA2">
        <w:rPr>
          <w:b/>
          <w:bCs/>
        </w:rPr>
        <w:t>Pcell</w:t>
      </w:r>
      <w:proofErr w:type="spellEnd"/>
      <w:r w:rsidRPr="00335FA2">
        <w:rPr>
          <w:b/>
          <w:bCs/>
        </w:rPr>
        <w:t xml:space="preserve"> in non-active periods should be avoided. </w:t>
      </w:r>
    </w:p>
    <w:p w14:paraId="6CA58F8C" w14:textId="77777777" w:rsidR="00A922D6" w:rsidRPr="00396420" w:rsidRDefault="00A922D6" w:rsidP="00A922D6">
      <w:pPr>
        <w:rPr>
          <w:b/>
          <w:bCs/>
        </w:rPr>
      </w:pPr>
      <w:r w:rsidRPr="00396420">
        <w:rPr>
          <w:b/>
          <w:bCs/>
        </w:rPr>
        <w:t xml:space="preserve">Observation </w:t>
      </w:r>
      <w:r>
        <w:rPr>
          <w:b/>
          <w:bCs/>
        </w:rPr>
        <w:t>2</w:t>
      </w:r>
      <w:r w:rsidRPr="00396420">
        <w:rPr>
          <w:b/>
          <w:bCs/>
        </w:rPr>
        <w:t xml:space="preserve">: DCI2_9 occasions will be configured as a function of serving cell total load and may be much more frequent than UE ON-durations. </w:t>
      </w:r>
    </w:p>
    <w:p w14:paraId="2680D124" w14:textId="77777777" w:rsidR="00A922D6" w:rsidRDefault="00A922D6" w:rsidP="00A922D6">
      <w:pPr>
        <w:rPr>
          <w:b/>
          <w:bCs/>
        </w:rPr>
      </w:pPr>
      <w:r w:rsidRPr="00D3723B">
        <w:rPr>
          <w:b/>
          <w:bCs/>
        </w:rPr>
        <w:t xml:space="preserve">Proposal </w:t>
      </w:r>
      <w:r>
        <w:rPr>
          <w:b/>
          <w:bCs/>
        </w:rPr>
        <w:t>4</w:t>
      </w:r>
      <w:r w:rsidRPr="00D3723B">
        <w:rPr>
          <w:b/>
          <w:bCs/>
        </w:rPr>
        <w:t xml:space="preserve">: UE is not expected to monitor any extra PDCCH occasions for NES-RNTI outside of what the UE already monitors in the legacy spec. </w:t>
      </w:r>
    </w:p>
    <w:p w14:paraId="36E41F7B" w14:textId="77777777" w:rsidR="00A922D6" w:rsidRPr="00410FDA" w:rsidRDefault="00A922D6" w:rsidP="00A922D6">
      <w:pPr>
        <w:rPr>
          <w:b/>
          <w:bCs/>
        </w:rPr>
      </w:pPr>
      <w:r w:rsidRPr="00410FDA">
        <w:rPr>
          <w:b/>
          <w:bCs/>
        </w:rPr>
        <w:t xml:space="preserve">Observation </w:t>
      </w:r>
      <w:r>
        <w:rPr>
          <w:b/>
          <w:bCs/>
        </w:rPr>
        <w:t>3</w:t>
      </w:r>
      <w:r w:rsidRPr="00410FDA">
        <w:rPr>
          <w:b/>
          <w:bCs/>
        </w:rPr>
        <w:t xml:space="preserve">: A CONNECTED UE may perform RACH during nonactive period of cell DTX/DRX but no existing mechanism to transmit and receive after RACH during </w:t>
      </w:r>
      <w:r>
        <w:rPr>
          <w:b/>
          <w:bCs/>
        </w:rPr>
        <w:t xml:space="preserve">Cell DTX/DRX </w:t>
      </w:r>
      <w:r w:rsidRPr="00410FDA">
        <w:rPr>
          <w:b/>
          <w:bCs/>
        </w:rPr>
        <w:t xml:space="preserve">nonactive period.   </w:t>
      </w:r>
    </w:p>
    <w:p w14:paraId="68987D82" w14:textId="77777777" w:rsidR="00A922D6" w:rsidRDefault="00A922D6" w:rsidP="00A922D6">
      <w:pPr>
        <w:rPr>
          <w:b/>
          <w:bCs/>
        </w:rPr>
      </w:pPr>
      <w:r w:rsidRPr="00410FDA">
        <w:rPr>
          <w:b/>
          <w:bCs/>
        </w:rPr>
        <w:t xml:space="preserve">Proposal </w:t>
      </w:r>
      <w:r>
        <w:rPr>
          <w:b/>
          <w:bCs/>
        </w:rPr>
        <w:t>5</w:t>
      </w:r>
      <w:r w:rsidRPr="00410FDA">
        <w:rPr>
          <w:b/>
          <w:bCs/>
        </w:rPr>
        <w:t xml:space="preserve">: UE implicitly deactivates Cell DTX/DRX configuration after RACH on a serving cell. </w:t>
      </w:r>
    </w:p>
    <w:p w14:paraId="3D13DD89" w14:textId="77777777" w:rsidR="00A922D6" w:rsidRPr="00E624C1" w:rsidRDefault="00A922D6" w:rsidP="00A922D6">
      <w:pPr>
        <w:rPr>
          <w:b/>
          <w:bCs/>
        </w:rPr>
      </w:pPr>
      <w:r w:rsidRPr="00E624C1">
        <w:rPr>
          <w:b/>
          <w:bCs/>
        </w:rPr>
        <w:t xml:space="preserve">Observation 4: A missed SR can be expensive to the UE power as it may lead to UE unnecessarily monitoring PDCCH during the whole cell DTX/DRX non-active period. </w:t>
      </w:r>
    </w:p>
    <w:p w14:paraId="3E26AD88" w14:textId="77777777" w:rsidR="00A922D6" w:rsidRDefault="00A922D6" w:rsidP="00A922D6">
      <w:pPr>
        <w:rPr>
          <w:b/>
          <w:bCs/>
        </w:rPr>
      </w:pPr>
      <w:r>
        <w:rPr>
          <w:b/>
          <w:bCs/>
        </w:rPr>
        <w:lastRenderedPageBreak/>
        <w:t>Proposal 6: RAN2 to address the case where the UE must unnecessarily monitor PDCCH during the whole cell DTX/DRX non-active period after a missed SR.</w:t>
      </w:r>
    </w:p>
    <w:p w14:paraId="6CDC0F4C" w14:textId="77777777" w:rsidR="00A922D6" w:rsidRPr="00520281" w:rsidRDefault="00A922D6" w:rsidP="00A922D6">
      <w:pPr>
        <w:rPr>
          <w:b/>
          <w:bCs/>
        </w:rPr>
      </w:pPr>
      <w:r w:rsidRPr="004E7D8F">
        <w:rPr>
          <w:b/>
          <w:bCs/>
        </w:rPr>
        <w:t xml:space="preserve">Proposal </w:t>
      </w:r>
      <w:r>
        <w:rPr>
          <w:b/>
          <w:bCs/>
        </w:rPr>
        <w:t>7</w:t>
      </w:r>
      <w:r w:rsidRPr="004E7D8F">
        <w:rPr>
          <w:b/>
          <w:bCs/>
        </w:rPr>
        <w:t>: For SR that would be kept pending during cell DRX</w:t>
      </w:r>
      <w:r>
        <w:rPr>
          <w:b/>
          <w:bCs/>
        </w:rPr>
        <w:t>/DTX</w:t>
      </w:r>
      <w:r w:rsidRPr="004E7D8F">
        <w:rPr>
          <w:b/>
          <w:bCs/>
        </w:rPr>
        <w:t xml:space="preserve"> non-active period, a timer is configured by the gNB to control how long this SR can be kept pending</w:t>
      </w:r>
      <w:r>
        <w:rPr>
          <w:b/>
          <w:bCs/>
        </w:rPr>
        <w:t xml:space="preserve"> before triggering SR-RACH.</w:t>
      </w:r>
      <w:r w:rsidRPr="004E7D8F">
        <w:rPr>
          <w:b/>
          <w:bCs/>
        </w:rPr>
        <w:t xml:space="preserve"> </w:t>
      </w:r>
    </w:p>
    <w:p w14:paraId="5143CF18" w14:textId="77777777" w:rsidR="00A922D6" w:rsidRPr="00D3723B" w:rsidRDefault="00A922D6" w:rsidP="00A922D6">
      <w:pPr>
        <w:rPr>
          <w:b/>
          <w:bCs/>
        </w:rPr>
      </w:pPr>
      <w:r w:rsidRPr="00D3723B">
        <w:rPr>
          <w:b/>
          <w:bCs/>
        </w:rPr>
        <w:t xml:space="preserve">Proposal </w:t>
      </w:r>
      <w:r>
        <w:rPr>
          <w:b/>
          <w:bCs/>
        </w:rPr>
        <w:t>8</w:t>
      </w:r>
      <w:r w:rsidRPr="00D3723B">
        <w:rPr>
          <w:b/>
          <w:bCs/>
        </w:rPr>
        <w:t>: When the UE decodes DCI2_9 containing new cell DTX/DRX (de)activation information, RAN2 to discuss the following two options for when the UE starts applying the new (de)activation:</w:t>
      </w:r>
    </w:p>
    <w:p w14:paraId="316CA88E" w14:textId="77777777" w:rsidR="00A922D6" w:rsidRPr="00D3723B" w:rsidRDefault="00A922D6" w:rsidP="00A922D6">
      <w:pPr>
        <w:pStyle w:val="ListParagraph"/>
        <w:numPr>
          <w:ilvl w:val="0"/>
          <w:numId w:val="20"/>
        </w:numPr>
        <w:rPr>
          <w:b/>
          <w:bCs/>
        </w:rPr>
      </w:pPr>
      <w:r w:rsidRPr="00D3723B">
        <w:rPr>
          <w:b/>
          <w:bCs/>
        </w:rPr>
        <w:t>Option 1: UE applies the (de)activation starting from the new Cell DTX cycle for each cell separately.</w:t>
      </w:r>
    </w:p>
    <w:p w14:paraId="308B2B73" w14:textId="77777777" w:rsidR="00A922D6" w:rsidRDefault="00A922D6" w:rsidP="00A922D6">
      <w:pPr>
        <w:pStyle w:val="ListParagraph"/>
        <w:numPr>
          <w:ilvl w:val="0"/>
          <w:numId w:val="20"/>
        </w:numPr>
        <w:rPr>
          <w:b/>
          <w:bCs/>
        </w:rPr>
      </w:pPr>
      <w:r w:rsidRPr="00D3723B">
        <w:rPr>
          <w:b/>
          <w:bCs/>
        </w:rPr>
        <w:t xml:space="preserve">Option 2: UE applies the (de)activation uniformly starting from the new CDRX cycle. </w:t>
      </w:r>
    </w:p>
    <w:p w14:paraId="660EA8C7" w14:textId="77777777" w:rsidR="00A922D6" w:rsidRPr="00266654" w:rsidRDefault="00A922D6" w:rsidP="00A922D6">
      <w:pPr>
        <w:rPr>
          <w:b/>
          <w:bCs/>
        </w:rPr>
      </w:pPr>
      <w:r w:rsidRPr="00266654">
        <w:rPr>
          <w:b/>
          <w:bCs/>
        </w:rPr>
        <w:t xml:space="preserve">Observation </w:t>
      </w:r>
      <w:r>
        <w:rPr>
          <w:b/>
          <w:bCs/>
        </w:rPr>
        <w:t>5</w:t>
      </w:r>
      <w:r w:rsidRPr="00266654">
        <w:rPr>
          <w:b/>
          <w:bCs/>
        </w:rPr>
        <w:t xml:space="preserve">: Partial </w:t>
      </w:r>
      <w:r>
        <w:rPr>
          <w:b/>
          <w:bCs/>
        </w:rPr>
        <w:t>overlap</w:t>
      </w:r>
      <w:r w:rsidRPr="00266654">
        <w:rPr>
          <w:b/>
          <w:bCs/>
        </w:rPr>
        <w:t xml:space="preserve"> cannot be achieved when Cell DTX Periodicity in an integer multiple of UE C-DRX periodicity except for very limited cases with limited NES gains. </w:t>
      </w:r>
    </w:p>
    <w:p w14:paraId="5B6DB781" w14:textId="77777777" w:rsidR="00A922D6" w:rsidRDefault="00A922D6" w:rsidP="00A922D6">
      <w:pPr>
        <w:rPr>
          <w:b/>
          <w:bCs/>
        </w:rPr>
      </w:pPr>
      <w:r w:rsidRPr="002A5E9F">
        <w:rPr>
          <w:b/>
          <w:bCs/>
        </w:rPr>
        <w:t xml:space="preserve">Proposal </w:t>
      </w:r>
      <w:r>
        <w:rPr>
          <w:b/>
          <w:bCs/>
        </w:rPr>
        <w:t>9</w:t>
      </w:r>
      <w:r w:rsidRPr="002A5E9F">
        <w:rPr>
          <w:b/>
          <w:bCs/>
        </w:rPr>
        <w:t>: RAN2 to discuss between the following two options for the case when Cell DTX Periodicity in an integer multiple of UE C-DRX periodicity</w:t>
      </w:r>
      <w:r>
        <w:rPr>
          <w:b/>
          <w:bCs/>
        </w:rPr>
        <w:t>:</w:t>
      </w:r>
    </w:p>
    <w:p w14:paraId="1B25A835" w14:textId="77777777" w:rsidR="00A922D6" w:rsidRDefault="00A922D6" w:rsidP="00A922D6">
      <w:pPr>
        <w:pStyle w:val="ListParagraph"/>
        <w:numPr>
          <w:ilvl w:val="0"/>
          <w:numId w:val="9"/>
        </w:numPr>
        <w:rPr>
          <w:b/>
          <w:bCs/>
        </w:rPr>
      </w:pPr>
      <w:r>
        <w:rPr>
          <w:b/>
          <w:bCs/>
        </w:rPr>
        <w:t xml:space="preserve">Only configurations that guarantee partial overlap are valid. </w:t>
      </w:r>
    </w:p>
    <w:p w14:paraId="0EB2B2A7" w14:textId="77777777" w:rsidR="00A922D6" w:rsidRDefault="00A922D6" w:rsidP="00A922D6">
      <w:pPr>
        <w:pStyle w:val="ListParagraph"/>
        <w:numPr>
          <w:ilvl w:val="0"/>
          <w:numId w:val="9"/>
        </w:numPr>
        <w:rPr>
          <w:b/>
          <w:bCs/>
        </w:rPr>
      </w:pPr>
      <w:r>
        <w:rPr>
          <w:b/>
          <w:bCs/>
        </w:rPr>
        <w:t xml:space="preserve">Configurations that don’t guarantee partial overlap are valid, the UE does not start DRX long cycle in non-overlapped ON duration occasions. </w:t>
      </w:r>
    </w:p>
    <w:p w14:paraId="53B24FCE" w14:textId="77777777" w:rsidR="001237E9" w:rsidRPr="004403E6" w:rsidRDefault="001237E9" w:rsidP="00135EC3">
      <w:pPr>
        <w:rPr>
          <w:b/>
          <w:bCs/>
        </w:rPr>
      </w:pPr>
    </w:p>
    <w:p w14:paraId="7F9A5B2E" w14:textId="77777777" w:rsidR="00CD4C7B" w:rsidRPr="00320A6B" w:rsidRDefault="00CD4C7B" w:rsidP="00CD4C7B">
      <w:pPr>
        <w:pStyle w:val="Heading1"/>
      </w:pPr>
      <w:r w:rsidRPr="00320A6B">
        <w:t>References</w:t>
      </w:r>
    </w:p>
    <w:p w14:paraId="27E31106" w14:textId="77777777" w:rsidR="00F26A41" w:rsidRDefault="00F26A41" w:rsidP="0085097F">
      <w:pPr>
        <w:pStyle w:val="References"/>
        <w:numPr>
          <w:ilvl w:val="0"/>
          <w:numId w:val="5"/>
        </w:numPr>
        <w:tabs>
          <w:tab w:val="clear" w:pos="567"/>
        </w:tabs>
        <w:autoSpaceDE/>
        <w:autoSpaceDN/>
        <w:snapToGrid/>
        <w:spacing w:after="120"/>
      </w:pPr>
      <w:bookmarkStart w:id="0" w:name="_Ref114823375"/>
      <w:bookmarkStart w:id="1" w:name="_Ref118379691"/>
      <w:r w:rsidRPr="00652A44">
        <w:t>RP-223540</w:t>
      </w:r>
      <w:r>
        <w:t xml:space="preserve">, New WID: </w:t>
      </w:r>
      <w:r w:rsidRPr="00EC157F">
        <w:t>Network energy saving</w:t>
      </w:r>
      <w:r>
        <w:t>s for NR, December 2022</w:t>
      </w:r>
      <w:bookmarkEnd w:id="0"/>
      <w:r>
        <w:t>.</w:t>
      </w:r>
      <w:bookmarkEnd w:id="1"/>
    </w:p>
    <w:p w14:paraId="5BFA7C35" w14:textId="4D4E1E16" w:rsidR="00911879" w:rsidRDefault="002961D6" w:rsidP="0085097F">
      <w:pPr>
        <w:pStyle w:val="References"/>
        <w:numPr>
          <w:ilvl w:val="0"/>
          <w:numId w:val="5"/>
        </w:numPr>
        <w:tabs>
          <w:tab w:val="clear" w:pos="567"/>
        </w:tabs>
        <w:autoSpaceDE/>
        <w:autoSpaceDN/>
        <w:snapToGrid/>
        <w:spacing w:after="120"/>
      </w:pPr>
      <w:r>
        <w:t>RAN2 #123 bis Chair notes</w:t>
      </w:r>
    </w:p>
    <w:p w14:paraId="36ABF6A7" w14:textId="77777777" w:rsidR="002961D6" w:rsidRPr="002961D6" w:rsidRDefault="002961D6" w:rsidP="0085097F">
      <w:pPr>
        <w:pStyle w:val="References"/>
        <w:numPr>
          <w:ilvl w:val="0"/>
          <w:numId w:val="5"/>
        </w:numPr>
        <w:tabs>
          <w:tab w:val="clear" w:pos="567"/>
        </w:tabs>
        <w:autoSpaceDE/>
        <w:autoSpaceDN/>
        <w:snapToGrid/>
        <w:spacing w:after="120"/>
        <w:rPr>
          <w:rFonts w:eastAsiaTheme="minorEastAsia"/>
          <w:szCs w:val="20"/>
          <w:lang w:val="de-DE"/>
        </w:rPr>
      </w:pPr>
      <w:r w:rsidRPr="002961D6">
        <w:rPr>
          <w:sz w:val="22"/>
          <w:szCs w:val="22"/>
        </w:rPr>
        <w:t>Report of [POST123bis][</w:t>
      </w:r>
      <w:proofErr w:type="gramStart"/>
      <w:r w:rsidRPr="002961D6">
        <w:rPr>
          <w:sz w:val="22"/>
          <w:szCs w:val="22"/>
        </w:rPr>
        <w:t>021][</w:t>
      </w:r>
      <w:proofErr w:type="gramEnd"/>
      <w:r w:rsidRPr="002961D6">
        <w:rPr>
          <w:sz w:val="22"/>
          <w:szCs w:val="22"/>
        </w:rPr>
        <w:t>NES] 38.331 Running CR (Huawei)</w:t>
      </w:r>
      <w:r w:rsidRPr="002961D6">
        <w:rPr>
          <w:sz w:val="22"/>
          <w:szCs w:val="22"/>
        </w:rPr>
        <w:t xml:space="preserve"> </w:t>
      </w:r>
    </w:p>
    <w:p w14:paraId="2A3C7399" w14:textId="3FA00D05" w:rsidR="00713C82" w:rsidRPr="00F34934" w:rsidRDefault="002961D6" w:rsidP="002961D6">
      <w:pPr>
        <w:pStyle w:val="References"/>
        <w:numPr>
          <w:ilvl w:val="0"/>
          <w:numId w:val="5"/>
        </w:numPr>
        <w:tabs>
          <w:tab w:val="clear" w:pos="567"/>
        </w:tabs>
        <w:autoSpaceDE/>
        <w:autoSpaceDN/>
        <w:snapToGrid/>
        <w:spacing w:after="120"/>
        <w:rPr>
          <w:rFonts w:eastAsiaTheme="minorEastAsia"/>
          <w:szCs w:val="20"/>
          <w:lang w:val="de-DE"/>
        </w:rPr>
      </w:pPr>
      <w:r w:rsidRPr="002961D6">
        <w:rPr>
          <w:rFonts w:eastAsiaTheme="minorEastAsia"/>
          <w:szCs w:val="20"/>
          <w:lang w:val="de-DE"/>
        </w:rPr>
        <w:t>Report of [POST123bis]</w:t>
      </w:r>
      <w:r>
        <w:rPr>
          <w:rFonts w:eastAsiaTheme="minorEastAsia"/>
          <w:szCs w:val="20"/>
          <w:lang w:val="de-DE"/>
        </w:rPr>
        <w:t>[</w:t>
      </w:r>
      <w:r w:rsidRPr="002961D6">
        <w:rPr>
          <w:rFonts w:eastAsiaTheme="minorEastAsia"/>
          <w:szCs w:val="20"/>
          <w:lang w:val="de-DE"/>
        </w:rPr>
        <w:t>NES] 38.3</w:t>
      </w:r>
      <w:r>
        <w:rPr>
          <w:rFonts w:eastAsiaTheme="minorEastAsia"/>
          <w:szCs w:val="20"/>
          <w:lang w:val="de-DE"/>
        </w:rPr>
        <w:t>2</w:t>
      </w:r>
      <w:r w:rsidRPr="002961D6">
        <w:rPr>
          <w:rFonts w:eastAsiaTheme="minorEastAsia"/>
          <w:szCs w:val="20"/>
          <w:lang w:val="de-DE"/>
        </w:rPr>
        <w:t>1 Running CR (</w:t>
      </w:r>
      <w:r>
        <w:rPr>
          <w:rFonts w:eastAsiaTheme="minorEastAsia"/>
          <w:szCs w:val="20"/>
          <w:lang w:val="de-DE"/>
        </w:rPr>
        <w:t>Interdigital</w:t>
      </w:r>
      <w:r w:rsidRPr="002961D6">
        <w:rPr>
          <w:rFonts w:eastAsiaTheme="minorEastAsia"/>
          <w:szCs w:val="20"/>
          <w:lang w:val="de-DE"/>
        </w:rPr>
        <w:t>)</w:t>
      </w:r>
    </w:p>
    <w:sectPr w:rsidR="00713C82" w:rsidRPr="00F349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41F02" w14:textId="77777777" w:rsidR="00476050" w:rsidRDefault="00476050">
      <w:r>
        <w:separator/>
      </w:r>
    </w:p>
  </w:endnote>
  <w:endnote w:type="continuationSeparator" w:id="0">
    <w:p w14:paraId="0315193A" w14:textId="77777777" w:rsidR="00476050" w:rsidRDefault="00476050">
      <w:r>
        <w:continuationSeparator/>
      </w:r>
    </w:p>
  </w:endnote>
  <w:endnote w:type="continuationNotice" w:id="1">
    <w:p w14:paraId="443DA79D" w14:textId="77777777" w:rsidR="00476050" w:rsidRDefault="00476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A95E" w14:textId="77777777" w:rsidR="00476050" w:rsidRDefault="00476050">
      <w:r>
        <w:separator/>
      </w:r>
    </w:p>
  </w:footnote>
  <w:footnote w:type="continuationSeparator" w:id="0">
    <w:p w14:paraId="1873FC1C" w14:textId="77777777" w:rsidR="00476050" w:rsidRDefault="00476050">
      <w:r>
        <w:continuationSeparator/>
      </w:r>
    </w:p>
  </w:footnote>
  <w:footnote w:type="continuationNotice" w:id="1">
    <w:p w14:paraId="4BE4EDA5" w14:textId="77777777" w:rsidR="00476050" w:rsidRDefault="00476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917FC"/>
    <w:multiLevelType w:val="hybridMultilevel"/>
    <w:tmpl w:val="82708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01DDE"/>
    <w:multiLevelType w:val="hybridMultilevel"/>
    <w:tmpl w:val="4FCA69AE"/>
    <w:lvl w:ilvl="0" w:tplc="C4A45968">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B82558"/>
    <w:multiLevelType w:val="hybridMultilevel"/>
    <w:tmpl w:val="A792109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756931"/>
    <w:multiLevelType w:val="hybridMultilevel"/>
    <w:tmpl w:val="7F4E5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CC5296"/>
    <w:multiLevelType w:val="hybridMultilevel"/>
    <w:tmpl w:val="1A6AD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E850D0"/>
    <w:multiLevelType w:val="hybridMultilevel"/>
    <w:tmpl w:val="1E809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8D7210"/>
    <w:multiLevelType w:val="hybridMultilevel"/>
    <w:tmpl w:val="30D6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A03574"/>
    <w:multiLevelType w:val="hybridMultilevel"/>
    <w:tmpl w:val="40A2F76C"/>
    <w:lvl w:ilvl="0" w:tplc="5C62956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485120B"/>
    <w:multiLevelType w:val="hybridMultilevel"/>
    <w:tmpl w:val="1AD82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0D6015"/>
    <w:multiLevelType w:val="hybridMultilevel"/>
    <w:tmpl w:val="056EBE2C"/>
    <w:lvl w:ilvl="0" w:tplc="855A34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8FE247C4"/>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ABA15FE"/>
    <w:multiLevelType w:val="hybridMultilevel"/>
    <w:tmpl w:val="EFC4E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790F27"/>
    <w:multiLevelType w:val="hybridMultilevel"/>
    <w:tmpl w:val="3D30DA1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978150250">
    <w:abstractNumId w:val="17"/>
  </w:num>
  <w:num w:numId="2" w16cid:durableId="1101799896">
    <w:abstractNumId w:val="10"/>
  </w:num>
  <w:num w:numId="3" w16cid:durableId="669144336">
    <w:abstractNumId w:val="15"/>
  </w:num>
  <w:num w:numId="4" w16cid:durableId="41370999">
    <w:abstractNumId w:val="16"/>
  </w:num>
  <w:num w:numId="5" w16cid:durableId="239632339">
    <w:abstractNumId w:val="0"/>
  </w:num>
  <w:num w:numId="6" w16cid:durableId="188422281">
    <w:abstractNumId w:val="6"/>
  </w:num>
  <w:num w:numId="7" w16cid:durableId="956958415">
    <w:abstractNumId w:val="11"/>
  </w:num>
  <w:num w:numId="8" w16cid:durableId="636492830">
    <w:abstractNumId w:val="13"/>
  </w:num>
  <w:num w:numId="9" w16cid:durableId="685211488">
    <w:abstractNumId w:val="8"/>
  </w:num>
  <w:num w:numId="10" w16cid:durableId="1638536299">
    <w:abstractNumId w:val="2"/>
  </w:num>
  <w:num w:numId="11" w16cid:durableId="1662153934">
    <w:abstractNumId w:val="7"/>
  </w:num>
  <w:num w:numId="12" w16cid:durableId="1655793390">
    <w:abstractNumId w:val="1"/>
  </w:num>
  <w:num w:numId="13" w16cid:durableId="338125069">
    <w:abstractNumId w:val="5"/>
  </w:num>
  <w:num w:numId="14" w16cid:durableId="294718131">
    <w:abstractNumId w:val="18"/>
  </w:num>
  <w:num w:numId="15" w16cid:durableId="842864485">
    <w:abstractNumId w:val="14"/>
  </w:num>
  <w:num w:numId="16" w16cid:durableId="529224701">
    <w:abstractNumId w:val="12"/>
  </w:num>
  <w:num w:numId="17" w16cid:durableId="993606205">
    <w:abstractNumId w:val="3"/>
  </w:num>
  <w:num w:numId="18" w16cid:durableId="1922136674">
    <w:abstractNumId w:val="9"/>
  </w:num>
  <w:num w:numId="19" w16cid:durableId="2122727529">
    <w:abstractNumId w:val="20"/>
  </w:num>
  <w:num w:numId="20" w16cid:durableId="1456831023">
    <w:abstractNumId w:val="4"/>
  </w:num>
  <w:num w:numId="21" w16cid:durableId="201858053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1A50"/>
    <w:rsid w:val="0000244D"/>
    <w:rsid w:val="000026EB"/>
    <w:rsid w:val="00002973"/>
    <w:rsid w:val="00002EA9"/>
    <w:rsid w:val="00002EEB"/>
    <w:rsid w:val="0000318A"/>
    <w:rsid w:val="0000366F"/>
    <w:rsid w:val="000039F6"/>
    <w:rsid w:val="00003E0D"/>
    <w:rsid w:val="0000401D"/>
    <w:rsid w:val="0000409B"/>
    <w:rsid w:val="00004C66"/>
    <w:rsid w:val="00004F39"/>
    <w:rsid w:val="000064F6"/>
    <w:rsid w:val="00006EBD"/>
    <w:rsid w:val="00006EEB"/>
    <w:rsid w:val="000072BE"/>
    <w:rsid w:val="00007E79"/>
    <w:rsid w:val="00010161"/>
    <w:rsid w:val="00011510"/>
    <w:rsid w:val="0001282D"/>
    <w:rsid w:val="00012887"/>
    <w:rsid w:val="00012C6B"/>
    <w:rsid w:val="00013C23"/>
    <w:rsid w:val="000147A7"/>
    <w:rsid w:val="00014DFA"/>
    <w:rsid w:val="00015097"/>
    <w:rsid w:val="000152D3"/>
    <w:rsid w:val="000159D1"/>
    <w:rsid w:val="0001796A"/>
    <w:rsid w:val="00017AAB"/>
    <w:rsid w:val="00017F39"/>
    <w:rsid w:val="000205D9"/>
    <w:rsid w:val="00020686"/>
    <w:rsid w:val="00021991"/>
    <w:rsid w:val="000221E5"/>
    <w:rsid w:val="00022FFF"/>
    <w:rsid w:val="0002360A"/>
    <w:rsid w:val="00023FC6"/>
    <w:rsid w:val="0002445A"/>
    <w:rsid w:val="00025CE4"/>
    <w:rsid w:val="00026FC4"/>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0DD"/>
    <w:rsid w:val="00035677"/>
    <w:rsid w:val="00035A12"/>
    <w:rsid w:val="000365C3"/>
    <w:rsid w:val="000368BE"/>
    <w:rsid w:val="0003767C"/>
    <w:rsid w:val="00037A01"/>
    <w:rsid w:val="00037AFB"/>
    <w:rsid w:val="00037D65"/>
    <w:rsid w:val="00040095"/>
    <w:rsid w:val="0004017A"/>
    <w:rsid w:val="00041A8C"/>
    <w:rsid w:val="00041B53"/>
    <w:rsid w:val="00041E8B"/>
    <w:rsid w:val="000422D9"/>
    <w:rsid w:val="00042896"/>
    <w:rsid w:val="000429B6"/>
    <w:rsid w:val="0004341F"/>
    <w:rsid w:val="0004395F"/>
    <w:rsid w:val="00044ED2"/>
    <w:rsid w:val="000453B4"/>
    <w:rsid w:val="00045625"/>
    <w:rsid w:val="0004707F"/>
    <w:rsid w:val="00047AAA"/>
    <w:rsid w:val="00047C90"/>
    <w:rsid w:val="00050E5C"/>
    <w:rsid w:val="000516D8"/>
    <w:rsid w:val="000516F8"/>
    <w:rsid w:val="0005190E"/>
    <w:rsid w:val="00051B34"/>
    <w:rsid w:val="00052658"/>
    <w:rsid w:val="0005270E"/>
    <w:rsid w:val="00052A99"/>
    <w:rsid w:val="0005380D"/>
    <w:rsid w:val="00055864"/>
    <w:rsid w:val="00056DB2"/>
    <w:rsid w:val="0005724D"/>
    <w:rsid w:val="000575B5"/>
    <w:rsid w:val="0006135D"/>
    <w:rsid w:val="00061505"/>
    <w:rsid w:val="00062D18"/>
    <w:rsid w:val="00065659"/>
    <w:rsid w:val="00065D6B"/>
    <w:rsid w:val="00066096"/>
    <w:rsid w:val="000669D2"/>
    <w:rsid w:val="0006748E"/>
    <w:rsid w:val="00071080"/>
    <w:rsid w:val="00071167"/>
    <w:rsid w:val="000716A1"/>
    <w:rsid w:val="000725B6"/>
    <w:rsid w:val="00072B04"/>
    <w:rsid w:val="000732E0"/>
    <w:rsid w:val="000736DA"/>
    <w:rsid w:val="00073EB1"/>
    <w:rsid w:val="00074261"/>
    <w:rsid w:val="00074DA0"/>
    <w:rsid w:val="000753C3"/>
    <w:rsid w:val="000772B8"/>
    <w:rsid w:val="0007762E"/>
    <w:rsid w:val="00077C88"/>
    <w:rsid w:val="00077D32"/>
    <w:rsid w:val="00077D9D"/>
    <w:rsid w:val="0008026D"/>
    <w:rsid w:val="00080512"/>
    <w:rsid w:val="00080EEB"/>
    <w:rsid w:val="000812F8"/>
    <w:rsid w:val="0008132E"/>
    <w:rsid w:val="000816BF"/>
    <w:rsid w:val="00082D1A"/>
    <w:rsid w:val="00083D94"/>
    <w:rsid w:val="00083F95"/>
    <w:rsid w:val="00084591"/>
    <w:rsid w:val="0008603C"/>
    <w:rsid w:val="00086758"/>
    <w:rsid w:val="00086904"/>
    <w:rsid w:val="0008762B"/>
    <w:rsid w:val="0008766D"/>
    <w:rsid w:val="00087CC3"/>
    <w:rsid w:val="00087E3D"/>
    <w:rsid w:val="00090401"/>
    <w:rsid w:val="00090468"/>
    <w:rsid w:val="00091368"/>
    <w:rsid w:val="0009199A"/>
    <w:rsid w:val="00092618"/>
    <w:rsid w:val="000926D3"/>
    <w:rsid w:val="00092753"/>
    <w:rsid w:val="00093164"/>
    <w:rsid w:val="000932EC"/>
    <w:rsid w:val="0009381E"/>
    <w:rsid w:val="00093C32"/>
    <w:rsid w:val="00094EEC"/>
    <w:rsid w:val="00095223"/>
    <w:rsid w:val="00096258"/>
    <w:rsid w:val="00096FFA"/>
    <w:rsid w:val="0009788E"/>
    <w:rsid w:val="00097AC6"/>
    <w:rsid w:val="000A050C"/>
    <w:rsid w:val="000A0DCE"/>
    <w:rsid w:val="000A1A2A"/>
    <w:rsid w:val="000A1A4E"/>
    <w:rsid w:val="000A3D7E"/>
    <w:rsid w:val="000A3F9B"/>
    <w:rsid w:val="000A469A"/>
    <w:rsid w:val="000A4756"/>
    <w:rsid w:val="000A5AD5"/>
    <w:rsid w:val="000A631F"/>
    <w:rsid w:val="000A7CC4"/>
    <w:rsid w:val="000A7DFE"/>
    <w:rsid w:val="000B0A05"/>
    <w:rsid w:val="000B0C46"/>
    <w:rsid w:val="000B19D0"/>
    <w:rsid w:val="000B19E9"/>
    <w:rsid w:val="000B2A24"/>
    <w:rsid w:val="000B3EF3"/>
    <w:rsid w:val="000B3F59"/>
    <w:rsid w:val="000B4307"/>
    <w:rsid w:val="000B4398"/>
    <w:rsid w:val="000B4D19"/>
    <w:rsid w:val="000B5156"/>
    <w:rsid w:val="000B7A58"/>
    <w:rsid w:val="000B7BCF"/>
    <w:rsid w:val="000C0524"/>
    <w:rsid w:val="000C0ACF"/>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1E2A"/>
    <w:rsid w:val="000D2FEE"/>
    <w:rsid w:val="000D30A2"/>
    <w:rsid w:val="000D3C9D"/>
    <w:rsid w:val="000D449E"/>
    <w:rsid w:val="000D4B3E"/>
    <w:rsid w:val="000D58AB"/>
    <w:rsid w:val="000D63F5"/>
    <w:rsid w:val="000D6AA7"/>
    <w:rsid w:val="000D6B39"/>
    <w:rsid w:val="000D6FEF"/>
    <w:rsid w:val="000D75A4"/>
    <w:rsid w:val="000D7C3D"/>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18B"/>
    <w:rsid w:val="000F6D44"/>
    <w:rsid w:val="000F6E81"/>
    <w:rsid w:val="00101232"/>
    <w:rsid w:val="00101BA1"/>
    <w:rsid w:val="00101E78"/>
    <w:rsid w:val="00102287"/>
    <w:rsid w:val="00102DAD"/>
    <w:rsid w:val="00103F08"/>
    <w:rsid w:val="00104080"/>
    <w:rsid w:val="00104704"/>
    <w:rsid w:val="001047D9"/>
    <w:rsid w:val="001056D4"/>
    <w:rsid w:val="001062A5"/>
    <w:rsid w:val="00106455"/>
    <w:rsid w:val="00106F4D"/>
    <w:rsid w:val="00107BEE"/>
    <w:rsid w:val="00107EE0"/>
    <w:rsid w:val="0011069B"/>
    <w:rsid w:val="00110777"/>
    <w:rsid w:val="001107B6"/>
    <w:rsid w:val="00110E8D"/>
    <w:rsid w:val="00110EB9"/>
    <w:rsid w:val="00110FF7"/>
    <w:rsid w:val="00111374"/>
    <w:rsid w:val="00111424"/>
    <w:rsid w:val="0011222A"/>
    <w:rsid w:val="00114310"/>
    <w:rsid w:val="001145AF"/>
    <w:rsid w:val="0011470F"/>
    <w:rsid w:val="001147B7"/>
    <w:rsid w:val="00114BDF"/>
    <w:rsid w:val="00114F98"/>
    <w:rsid w:val="001158B5"/>
    <w:rsid w:val="00115A3A"/>
    <w:rsid w:val="00116DE8"/>
    <w:rsid w:val="0011789A"/>
    <w:rsid w:val="00120844"/>
    <w:rsid w:val="00120C85"/>
    <w:rsid w:val="00121DD7"/>
    <w:rsid w:val="00121FB7"/>
    <w:rsid w:val="0012241E"/>
    <w:rsid w:val="001224F1"/>
    <w:rsid w:val="00122700"/>
    <w:rsid w:val="001237E9"/>
    <w:rsid w:val="00123A2A"/>
    <w:rsid w:val="00123DB1"/>
    <w:rsid w:val="001241A8"/>
    <w:rsid w:val="00124B3D"/>
    <w:rsid w:val="00125BFD"/>
    <w:rsid w:val="00126209"/>
    <w:rsid w:val="00126D29"/>
    <w:rsid w:val="00127B78"/>
    <w:rsid w:val="00130477"/>
    <w:rsid w:val="00130949"/>
    <w:rsid w:val="00131318"/>
    <w:rsid w:val="00131495"/>
    <w:rsid w:val="001320DB"/>
    <w:rsid w:val="00134105"/>
    <w:rsid w:val="0013434C"/>
    <w:rsid w:val="00134F91"/>
    <w:rsid w:val="00135C51"/>
    <w:rsid w:val="00135EC2"/>
    <w:rsid w:val="00135EC3"/>
    <w:rsid w:val="00136CFF"/>
    <w:rsid w:val="00137558"/>
    <w:rsid w:val="00137B01"/>
    <w:rsid w:val="00137B44"/>
    <w:rsid w:val="00140C86"/>
    <w:rsid w:val="00141242"/>
    <w:rsid w:val="001437F9"/>
    <w:rsid w:val="0014488C"/>
    <w:rsid w:val="00145075"/>
    <w:rsid w:val="00145BA0"/>
    <w:rsid w:val="00146FB1"/>
    <w:rsid w:val="0014714F"/>
    <w:rsid w:val="0014751F"/>
    <w:rsid w:val="00147B8F"/>
    <w:rsid w:val="0015058A"/>
    <w:rsid w:val="001508FA"/>
    <w:rsid w:val="00150B04"/>
    <w:rsid w:val="00150D4C"/>
    <w:rsid w:val="00151063"/>
    <w:rsid w:val="00151443"/>
    <w:rsid w:val="00151CB5"/>
    <w:rsid w:val="00152357"/>
    <w:rsid w:val="0015367F"/>
    <w:rsid w:val="00153B24"/>
    <w:rsid w:val="00153DBF"/>
    <w:rsid w:val="00154849"/>
    <w:rsid w:val="001568A4"/>
    <w:rsid w:val="00157634"/>
    <w:rsid w:val="0015777C"/>
    <w:rsid w:val="00157B0B"/>
    <w:rsid w:val="00157F36"/>
    <w:rsid w:val="001602A2"/>
    <w:rsid w:val="00160852"/>
    <w:rsid w:val="0016098E"/>
    <w:rsid w:val="00160AF6"/>
    <w:rsid w:val="00160C95"/>
    <w:rsid w:val="00161683"/>
    <w:rsid w:val="001619CF"/>
    <w:rsid w:val="00161E4A"/>
    <w:rsid w:val="001621C0"/>
    <w:rsid w:val="0016224C"/>
    <w:rsid w:val="00163C4E"/>
    <w:rsid w:val="00163CBD"/>
    <w:rsid w:val="00163DF7"/>
    <w:rsid w:val="00163E1F"/>
    <w:rsid w:val="00164D1F"/>
    <w:rsid w:val="001659A2"/>
    <w:rsid w:val="00167246"/>
    <w:rsid w:val="0016740F"/>
    <w:rsid w:val="00167A87"/>
    <w:rsid w:val="00167C99"/>
    <w:rsid w:val="0017097A"/>
    <w:rsid w:val="001711B4"/>
    <w:rsid w:val="0017151D"/>
    <w:rsid w:val="0017284D"/>
    <w:rsid w:val="00173BC5"/>
    <w:rsid w:val="00174173"/>
    <w:rsid w:val="001741A0"/>
    <w:rsid w:val="00174246"/>
    <w:rsid w:val="001748BD"/>
    <w:rsid w:val="00174CC0"/>
    <w:rsid w:val="001767D8"/>
    <w:rsid w:val="001769F9"/>
    <w:rsid w:val="00176B19"/>
    <w:rsid w:val="00176FE9"/>
    <w:rsid w:val="0017723E"/>
    <w:rsid w:val="0017733D"/>
    <w:rsid w:val="0017736D"/>
    <w:rsid w:val="001779C9"/>
    <w:rsid w:val="00180AC6"/>
    <w:rsid w:val="00181A75"/>
    <w:rsid w:val="001822E5"/>
    <w:rsid w:val="00182DE1"/>
    <w:rsid w:val="00183165"/>
    <w:rsid w:val="001833C6"/>
    <w:rsid w:val="00183558"/>
    <w:rsid w:val="00183953"/>
    <w:rsid w:val="00185122"/>
    <w:rsid w:val="00186DE6"/>
    <w:rsid w:val="00187DFD"/>
    <w:rsid w:val="00190C58"/>
    <w:rsid w:val="001914AA"/>
    <w:rsid w:val="00192486"/>
    <w:rsid w:val="0019338F"/>
    <w:rsid w:val="00194CC5"/>
    <w:rsid w:val="00194CD0"/>
    <w:rsid w:val="00194F4F"/>
    <w:rsid w:val="00195511"/>
    <w:rsid w:val="00196C23"/>
    <w:rsid w:val="0019788E"/>
    <w:rsid w:val="001A16DE"/>
    <w:rsid w:val="001A275B"/>
    <w:rsid w:val="001A2B4C"/>
    <w:rsid w:val="001A3490"/>
    <w:rsid w:val="001A3C54"/>
    <w:rsid w:val="001A43E1"/>
    <w:rsid w:val="001A5648"/>
    <w:rsid w:val="001A6D8E"/>
    <w:rsid w:val="001A7342"/>
    <w:rsid w:val="001B15EF"/>
    <w:rsid w:val="001B2253"/>
    <w:rsid w:val="001B252A"/>
    <w:rsid w:val="001B39BC"/>
    <w:rsid w:val="001B3DF2"/>
    <w:rsid w:val="001B3E0C"/>
    <w:rsid w:val="001B3E47"/>
    <w:rsid w:val="001B49C9"/>
    <w:rsid w:val="001B560A"/>
    <w:rsid w:val="001B5FCC"/>
    <w:rsid w:val="001B6282"/>
    <w:rsid w:val="001B6692"/>
    <w:rsid w:val="001B66ED"/>
    <w:rsid w:val="001B720E"/>
    <w:rsid w:val="001B771B"/>
    <w:rsid w:val="001C00F6"/>
    <w:rsid w:val="001C01CB"/>
    <w:rsid w:val="001C0CD7"/>
    <w:rsid w:val="001C1D36"/>
    <w:rsid w:val="001C28B2"/>
    <w:rsid w:val="001C2B2E"/>
    <w:rsid w:val="001C3132"/>
    <w:rsid w:val="001C324C"/>
    <w:rsid w:val="001C3EC7"/>
    <w:rsid w:val="001C4485"/>
    <w:rsid w:val="001C595C"/>
    <w:rsid w:val="001C61CF"/>
    <w:rsid w:val="001C6D73"/>
    <w:rsid w:val="001D0AEF"/>
    <w:rsid w:val="001D379F"/>
    <w:rsid w:val="001D3A7D"/>
    <w:rsid w:val="001D4C08"/>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5C44"/>
    <w:rsid w:val="001F5CC4"/>
    <w:rsid w:val="001F632B"/>
    <w:rsid w:val="001F6C98"/>
    <w:rsid w:val="001F7191"/>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072F4"/>
    <w:rsid w:val="002100CC"/>
    <w:rsid w:val="0021282D"/>
    <w:rsid w:val="0021353E"/>
    <w:rsid w:val="002135CA"/>
    <w:rsid w:val="002138DD"/>
    <w:rsid w:val="00214415"/>
    <w:rsid w:val="00214E95"/>
    <w:rsid w:val="00215774"/>
    <w:rsid w:val="00215A44"/>
    <w:rsid w:val="00215C7D"/>
    <w:rsid w:val="00216471"/>
    <w:rsid w:val="002166BB"/>
    <w:rsid w:val="00216FA7"/>
    <w:rsid w:val="002201C1"/>
    <w:rsid w:val="002209BB"/>
    <w:rsid w:val="002218AC"/>
    <w:rsid w:val="00221DC7"/>
    <w:rsid w:val="00221E06"/>
    <w:rsid w:val="00221F6C"/>
    <w:rsid w:val="00222AF0"/>
    <w:rsid w:val="002236E3"/>
    <w:rsid w:val="00223AD3"/>
    <w:rsid w:val="00224198"/>
    <w:rsid w:val="002244A9"/>
    <w:rsid w:val="00224580"/>
    <w:rsid w:val="00225498"/>
    <w:rsid w:val="0022589F"/>
    <w:rsid w:val="002258C3"/>
    <w:rsid w:val="0022606D"/>
    <w:rsid w:val="00226347"/>
    <w:rsid w:val="002265F3"/>
    <w:rsid w:val="002270E3"/>
    <w:rsid w:val="002311F1"/>
    <w:rsid w:val="0023299D"/>
    <w:rsid w:val="00232EA2"/>
    <w:rsid w:val="00233196"/>
    <w:rsid w:val="0023340F"/>
    <w:rsid w:val="00233A4C"/>
    <w:rsid w:val="00234B2F"/>
    <w:rsid w:val="00235144"/>
    <w:rsid w:val="00236258"/>
    <w:rsid w:val="00237759"/>
    <w:rsid w:val="002400B9"/>
    <w:rsid w:val="00241144"/>
    <w:rsid w:val="00242296"/>
    <w:rsid w:val="002429A9"/>
    <w:rsid w:val="002429E1"/>
    <w:rsid w:val="00242D19"/>
    <w:rsid w:val="00243001"/>
    <w:rsid w:val="0024365B"/>
    <w:rsid w:val="00243CC8"/>
    <w:rsid w:val="0024485F"/>
    <w:rsid w:val="00245B7D"/>
    <w:rsid w:val="00246EFB"/>
    <w:rsid w:val="002470DA"/>
    <w:rsid w:val="00247B92"/>
    <w:rsid w:val="00247F47"/>
    <w:rsid w:val="002507BD"/>
    <w:rsid w:val="00250812"/>
    <w:rsid w:val="00250B04"/>
    <w:rsid w:val="00250E5D"/>
    <w:rsid w:val="002524D2"/>
    <w:rsid w:val="00253640"/>
    <w:rsid w:val="00253EB4"/>
    <w:rsid w:val="0025406F"/>
    <w:rsid w:val="002541AB"/>
    <w:rsid w:val="00254721"/>
    <w:rsid w:val="00254A27"/>
    <w:rsid w:val="0025639A"/>
    <w:rsid w:val="00256B66"/>
    <w:rsid w:val="00257A49"/>
    <w:rsid w:val="00260AE7"/>
    <w:rsid w:val="00261860"/>
    <w:rsid w:val="00262113"/>
    <w:rsid w:val="00262A9D"/>
    <w:rsid w:val="00262CB8"/>
    <w:rsid w:val="00262CDC"/>
    <w:rsid w:val="00262EDD"/>
    <w:rsid w:val="00263BBA"/>
    <w:rsid w:val="00265490"/>
    <w:rsid w:val="00266149"/>
    <w:rsid w:val="0026614D"/>
    <w:rsid w:val="00266654"/>
    <w:rsid w:val="00267147"/>
    <w:rsid w:val="0027053F"/>
    <w:rsid w:val="00270F19"/>
    <w:rsid w:val="0027112D"/>
    <w:rsid w:val="002711A3"/>
    <w:rsid w:val="00271E30"/>
    <w:rsid w:val="00271E96"/>
    <w:rsid w:val="00271F03"/>
    <w:rsid w:val="0027207B"/>
    <w:rsid w:val="00272C79"/>
    <w:rsid w:val="00273961"/>
    <w:rsid w:val="002740F0"/>
    <w:rsid w:val="00274344"/>
    <w:rsid w:val="0027479D"/>
    <w:rsid w:val="002747EC"/>
    <w:rsid w:val="00274E85"/>
    <w:rsid w:val="00275202"/>
    <w:rsid w:val="0027537D"/>
    <w:rsid w:val="00275A13"/>
    <w:rsid w:val="0027640C"/>
    <w:rsid w:val="002766E6"/>
    <w:rsid w:val="0027697F"/>
    <w:rsid w:val="0027700B"/>
    <w:rsid w:val="002779A1"/>
    <w:rsid w:val="002805EC"/>
    <w:rsid w:val="00280F5B"/>
    <w:rsid w:val="00280F80"/>
    <w:rsid w:val="0028154D"/>
    <w:rsid w:val="00281980"/>
    <w:rsid w:val="00281AA7"/>
    <w:rsid w:val="00281EB6"/>
    <w:rsid w:val="00281FEF"/>
    <w:rsid w:val="002828C0"/>
    <w:rsid w:val="00282E6B"/>
    <w:rsid w:val="00282F1E"/>
    <w:rsid w:val="00283120"/>
    <w:rsid w:val="00284439"/>
    <w:rsid w:val="002855BF"/>
    <w:rsid w:val="00286538"/>
    <w:rsid w:val="00286EDD"/>
    <w:rsid w:val="00286FF8"/>
    <w:rsid w:val="0028779E"/>
    <w:rsid w:val="002879DE"/>
    <w:rsid w:val="00287FEB"/>
    <w:rsid w:val="00290C39"/>
    <w:rsid w:val="00290E65"/>
    <w:rsid w:val="00290FC1"/>
    <w:rsid w:val="00293031"/>
    <w:rsid w:val="00293D38"/>
    <w:rsid w:val="00295046"/>
    <w:rsid w:val="002956AA"/>
    <w:rsid w:val="002961D6"/>
    <w:rsid w:val="002966A8"/>
    <w:rsid w:val="0029794B"/>
    <w:rsid w:val="002A00A9"/>
    <w:rsid w:val="002A09FF"/>
    <w:rsid w:val="002A0C04"/>
    <w:rsid w:val="002A1D1A"/>
    <w:rsid w:val="002A2410"/>
    <w:rsid w:val="002A28C4"/>
    <w:rsid w:val="002A3550"/>
    <w:rsid w:val="002A4338"/>
    <w:rsid w:val="002A43C4"/>
    <w:rsid w:val="002A4AD1"/>
    <w:rsid w:val="002A4F3D"/>
    <w:rsid w:val="002A5E9F"/>
    <w:rsid w:val="002A5FEE"/>
    <w:rsid w:val="002A6AED"/>
    <w:rsid w:val="002A703E"/>
    <w:rsid w:val="002A717B"/>
    <w:rsid w:val="002B0A23"/>
    <w:rsid w:val="002B13F4"/>
    <w:rsid w:val="002B17AD"/>
    <w:rsid w:val="002B1CCD"/>
    <w:rsid w:val="002B1CFD"/>
    <w:rsid w:val="002B1E0A"/>
    <w:rsid w:val="002B4AC3"/>
    <w:rsid w:val="002B69DE"/>
    <w:rsid w:val="002B6D0C"/>
    <w:rsid w:val="002B6EAF"/>
    <w:rsid w:val="002B7133"/>
    <w:rsid w:val="002C0C03"/>
    <w:rsid w:val="002C0FC3"/>
    <w:rsid w:val="002C15BD"/>
    <w:rsid w:val="002C2193"/>
    <w:rsid w:val="002C2A8E"/>
    <w:rsid w:val="002C3919"/>
    <w:rsid w:val="002C4170"/>
    <w:rsid w:val="002C6EDD"/>
    <w:rsid w:val="002C708A"/>
    <w:rsid w:val="002C7D19"/>
    <w:rsid w:val="002D00E1"/>
    <w:rsid w:val="002D0F7A"/>
    <w:rsid w:val="002D10D9"/>
    <w:rsid w:val="002D13BC"/>
    <w:rsid w:val="002D2A97"/>
    <w:rsid w:val="002D2AB9"/>
    <w:rsid w:val="002D325D"/>
    <w:rsid w:val="002D32F7"/>
    <w:rsid w:val="002D4340"/>
    <w:rsid w:val="002D43C3"/>
    <w:rsid w:val="002D46BF"/>
    <w:rsid w:val="002D50EB"/>
    <w:rsid w:val="002E0943"/>
    <w:rsid w:val="002E0A0A"/>
    <w:rsid w:val="002E0BEB"/>
    <w:rsid w:val="002E0D1C"/>
    <w:rsid w:val="002E13C5"/>
    <w:rsid w:val="002E1652"/>
    <w:rsid w:val="002E1D57"/>
    <w:rsid w:val="002E2A93"/>
    <w:rsid w:val="002E2CD5"/>
    <w:rsid w:val="002E3084"/>
    <w:rsid w:val="002E386F"/>
    <w:rsid w:val="002E3CCA"/>
    <w:rsid w:val="002E61FD"/>
    <w:rsid w:val="002E755A"/>
    <w:rsid w:val="002E7822"/>
    <w:rsid w:val="002E7B35"/>
    <w:rsid w:val="002F0426"/>
    <w:rsid w:val="002F0D22"/>
    <w:rsid w:val="002F1ED3"/>
    <w:rsid w:val="002F229B"/>
    <w:rsid w:val="002F267E"/>
    <w:rsid w:val="002F3B8A"/>
    <w:rsid w:val="002F3C58"/>
    <w:rsid w:val="002F4752"/>
    <w:rsid w:val="002F4F7F"/>
    <w:rsid w:val="002F61D6"/>
    <w:rsid w:val="002F6B8C"/>
    <w:rsid w:val="002F6BC2"/>
    <w:rsid w:val="0030002C"/>
    <w:rsid w:val="003007BF"/>
    <w:rsid w:val="00301285"/>
    <w:rsid w:val="00301DE5"/>
    <w:rsid w:val="0030249C"/>
    <w:rsid w:val="00302700"/>
    <w:rsid w:val="00304006"/>
    <w:rsid w:val="00304D43"/>
    <w:rsid w:val="00305ECA"/>
    <w:rsid w:val="00306271"/>
    <w:rsid w:val="003063D2"/>
    <w:rsid w:val="00307D05"/>
    <w:rsid w:val="00311E70"/>
    <w:rsid w:val="0031294E"/>
    <w:rsid w:val="00313225"/>
    <w:rsid w:val="00313562"/>
    <w:rsid w:val="003136AE"/>
    <w:rsid w:val="00314064"/>
    <w:rsid w:val="00314429"/>
    <w:rsid w:val="0031467C"/>
    <w:rsid w:val="003155F4"/>
    <w:rsid w:val="00316444"/>
    <w:rsid w:val="00316792"/>
    <w:rsid w:val="003169A2"/>
    <w:rsid w:val="00316E1F"/>
    <w:rsid w:val="003172DC"/>
    <w:rsid w:val="003176E2"/>
    <w:rsid w:val="00317BDF"/>
    <w:rsid w:val="00317F6D"/>
    <w:rsid w:val="00320A6B"/>
    <w:rsid w:val="00320E41"/>
    <w:rsid w:val="00321520"/>
    <w:rsid w:val="003222EF"/>
    <w:rsid w:val="00322D89"/>
    <w:rsid w:val="00322DA2"/>
    <w:rsid w:val="00324D12"/>
    <w:rsid w:val="00326069"/>
    <w:rsid w:val="00326242"/>
    <w:rsid w:val="00326F0C"/>
    <w:rsid w:val="003273E4"/>
    <w:rsid w:val="00327901"/>
    <w:rsid w:val="003309E6"/>
    <w:rsid w:val="00331D99"/>
    <w:rsid w:val="0033250E"/>
    <w:rsid w:val="00333F73"/>
    <w:rsid w:val="00335983"/>
    <w:rsid w:val="00335FA2"/>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66B9"/>
    <w:rsid w:val="00346B5D"/>
    <w:rsid w:val="00346D47"/>
    <w:rsid w:val="00347001"/>
    <w:rsid w:val="00350995"/>
    <w:rsid w:val="00352B45"/>
    <w:rsid w:val="00352F51"/>
    <w:rsid w:val="00353133"/>
    <w:rsid w:val="003536D9"/>
    <w:rsid w:val="00353EFF"/>
    <w:rsid w:val="003543AB"/>
    <w:rsid w:val="0035462D"/>
    <w:rsid w:val="00354B60"/>
    <w:rsid w:val="00354E1B"/>
    <w:rsid w:val="00356CA4"/>
    <w:rsid w:val="003577E7"/>
    <w:rsid w:val="00357874"/>
    <w:rsid w:val="003603A9"/>
    <w:rsid w:val="0036063A"/>
    <w:rsid w:val="00360AEC"/>
    <w:rsid w:val="00360E1A"/>
    <w:rsid w:val="003611C1"/>
    <w:rsid w:val="00362020"/>
    <w:rsid w:val="00362050"/>
    <w:rsid w:val="00362D73"/>
    <w:rsid w:val="00363AD4"/>
    <w:rsid w:val="00363C88"/>
    <w:rsid w:val="003652D3"/>
    <w:rsid w:val="003657FF"/>
    <w:rsid w:val="00365B1E"/>
    <w:rsid w:val="00365F68"/>
    <w:rsid w:val="00366428"/>
    <w:rsid w:val="003664F7"/>
    <w:rsid w:val="00366F41"/>
    <w:rsid w:val="0036720B"/>
    <w:rsid w:val="003673FE"/>
    <w:rsid w:val="003678D6"/>
    <w:rsid w:val="00370627"/>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2E7"/>
    <w:rsid w:val="00382734"/>
    <w:rsid w:val="00382A17"/>
    <w:rsid w:val="00382AC9"/>
    <w:rsid w:val="00382B15"/>
    <w:rsid w:val="00382F19"/>
    <w:rsid w:val="00383173"/>
    <w:rsid w:val="003838F7"/>
    <w:rsid w:val="003839E2"/>
    <w:rsid w:val="003839E9"/>
    <w:rsid w:val="00383D39"/>
    <w:rsid w:val="003845AC"/>
    <w:rsid w:val="00384E6A"/>
    <w:rsid w:val="00385411"/>
    <w:rsid w:val="00385D97"/>
    <w:rsid w:val="003860EA"/>
    <w:rsid w:val="0038677D"/>
    <w:rsid w:val="00387244"/>
    <w:rsid w:val="003873B4"/>
    <w:rsid w:val="00387522"/>
    <w:rsid w:val="0039145F"/>
    <w:rsid w:val="003921CE"/>
    <w:rsid w:val="00392426"/>
    <w:rsid w:val="00393EE3"/>
    <w:rsid w:val="00394322"/>
    <w:rsid w:val="00394452"/>
    <w:rsid w:val="00394C58"/>
    <w:rsid w:val="00395387"/>
    <w:rsid w:val="00395806"/>
    <w:rsid w:val="003958A4"/>
    <w:rsid w:val="00396420"/>
    <w:rsid w:val="003A069B"/>
    <w:rsid w:val="003A1265"/>
    <w:rsid w:val="003A150A"/>
    <w:rsid w:val="003A16C0"/>
    <w:rsid w:val="003A1814"/>
    <w:rsid w:val="003A3EA0"/>
    <w:rsid w:val="003A40EE"/>
    <w:rsid w:val="003A40FC"/>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1EF8"/>
    <w:rsid w:val="003B343E"/>
    <w:rsid w:val="003B3B2C"/>
    <w:rsid w:val="003B3DFA"/>
    <w:rsid w:val="003B40AD"/>
    <w:rsid w:val="003B4FF9"/>
    <w:rsid w:val="003B5BB7"/>
    <w:rsid w:val="003B6713"/>
    <w:rsid w:val="003B67E5"/>
    <w:rsid w:val="003B7AD1"/>
    <w:rsid w:val="003C0176"/>
    <w:rsid w:val="003C0E88"/>
    <w:rsid w:val="003C0FA8"/>
    <w:rsid w:val="003C121D"/>
    <w:rsid w:val="003C1668"/>
    <w:rsid w:val="003C1BCC"/>
    <w:rsid w:val="003C2271"/>
    <w:rsid w:val="003C3EB7"/>
    <w:rsid w:val="003C48BC"/>
    <w:rsid w:val="003C4E14"/>
    <w:rsid w:val="003C4E37"/>
    <w:rsid w:val="003C4E48"/>
    <w:rsid w:val="003C5188"/>
    <w:rsid w:val="003C5F91"/>
    <w:rsid w:val="003C6194"/>
    <w:rsid w:val="003C66DE"/>
    <w:rsid w:val="003C7318"/>
    <w:rsid w:val="003C7D4D"/>
    <w:rsid w:val="003C7D85"/>
    <w:rsid w:val="003D0346"/>
    <w:rsid w:val="003D0659"/>
    <w:rsid w:val="003D0698"/>
    <w:rsid w:val="003D0AEF"/>
    <w:rsid w:val="003D0E10"/>
    <w:rsid w:val="003D10FF"/>
    <w:rsid w:val="003D140F"/>
    <w:rsid w:val="003D1590"/>
    <w:rsid w:val="003D159B"/>
    <w:rsid w:val="003D17ED"/>
    <w:rsid w:val="003D2286"/>
    <w:rsid w:val="003D2B58"/>
    <w:rsid w:val="003D2C5B"/>
    <w:rsid w:val="003D3F2A"/>
    <w:rsid w:val="003D3FB5"/>
    <w:rsid w:val="003D561D"/>
    <w:rsid w:val="003D6072"/>
    <w:rsid w:val="003D65DC"/>
    <w:rsid w:val="003D6F35"/>
    <w:rsid w:val="003D7042"/>
    <w:rsid w:val="003D7C68"/>
    <w:rsid w:val="003E0152"/>
    <w:rsid w:val="003E16BE"/>
    <w:rsid w:val="003E18CE"/>
    <w:rsid w:val="003E1F2D"/>
    <w:rsid w:val="003E312B"/>
    <w:rsid w:val="003E47E8"/>
    <w:rsid w:val="003E4A6A"/>
    <w:rsid w:val="003E4DDA"/>
    <w:rsid w:val="003E588D"/>
    <w:rsid w:val="003E5929"/>
    <w:rsid w:val="003E5D2F"/>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109"/>
    <w:rsid w:val="00401520"/>
    <w:rsid w:val="00401855"/>
    <w:rsid w:val="004032C7"/>
    <w:rsid w:val="00403568"/>
    <w:rsid w:val="0040363B"/>
    <w:rsid w:val="00405264"/>
    <w:rsid w:val="00405800"/>
    <w:rsid w:val="00406B77"/>
    <w:rsid w:val="00406E13"/>
    <w:rsid w:val="00407D3D"/>
    <w:rsid w:val="00407DAD"/>
    <w:rsid w:val="00410137"/>
    <w:rsid w:val="00410637"/>
    <w:rsid w:val="00410FDA"/>
    <w:rsid w:val="004123E8"/>
    <w:rsid w:val="00412662"/>
    <w:rsid w:val="0041296E"/>
    <w:rsid w:val="00413147"/>
    <w:rsid w:val="00413470"/>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0BFB"/>
    <w:rsid w:val="00420FB8"/>
    <w:rsid w:val="00421A80"/>
    <w:rsid w:val="004223D5"/>
    <w:rsid w:val="00422461"/>
    <w:rsid w:val="0042394C"/>
    <w:rsid w:val="0042472B"/>
    <w:rsid w:val="004248F5"/>
    <w:rsid w:val="004265A3"/>
    <w:rsid w:val="0042683C"/>
    <w:rsid w:val="004269D0"/>
    <w:rsid w:val="004275A9"/>
    <w:rsid w:val="004301C1"/>
    <w:rsid w:val="0043027D"/>
    <w:rsid w:val="0043056E"/>
    <w:rsid w:val="00430D92"/>
    <w:rsid w:val="004316D5"/>
    <w:rsid w:val="00431B58"/>
    <w:rsid w:val="0043210E"/>
    <w:rsid w:val="004325A5"/>
    <w:rsid w:val="00432F0C"/>
    <w:rsid w:val="0043393F"/>
    <w:rsid w:val="00435311"/>
    <w:rsid w:val="004356CA"/>
    <w:rsid w:val="00435ADE"/>
    <w:rsid w:val="00435C67"/>
    <w:rsid w:val="004378F1"/>
    <w:rsid w:val="00437E0C"/>
    <w:rsid w:val="004403E6"/>
    <w:rsid w:val="00440AA6"/>
    <w:rsid w:val="0044209B"/>
    <w:rsid w:val="00443341"/>
    <w:rsid w:val="00443D42"/>
    <w:rsid w:val="00445088"/>
    <w:rsid w:val="0044683A"/>
    <w:rsid w:val="00446D1A"/>
    <w:rsid w:val="00447373"/>
    <w:rsid w:val="00447717"/>
    <w:rsid w:val="004477E7"/>
    <w:rsid w:val="00447946"/>
    <w:rsid w:val="00450778"/>
    <w:rsid w:val="004522CC"/>
    <w:rsid w:val="00453473"/>
    <w:rsid w:val="0045378B"/>
    <w:rsid w:val="00453D6F"/>
    <w:rsid w:val="00453F11"/>
    <w:rsid w:val="00454460"/>
    <w:rsid w:val="00454656"/>
    <w:rsid w:val="00456872"/>
    <w:rsid w:val="00456B3D"/>
    <w:rsid w:val="00457661"/>
    <w:rsid w:val="00460045"/>
    <w:rsid w:val="0046132E"/>
    <w:rsid w:val="00462C47"/>
    <w:rsid w:val="00463569"/>
    <w:rsid w:val="00463E0F"/>
    <w:rsid w:val="00464949"/>
    <w:rsid w:val="00464DAE"/>
    <w:rsid w:val="00465CB0"/>
    <w:rsid w:val="00466468"/>
    <w:rsid w:val="00466D53"/>
    <w:rsid w:val="00466DF8"/>
    <w:rsid w:val="00467075"/>
    <w:rsid w:val="004672EE"/>
    <w:rsid w:val="00470F30"/>
    <w:rsid w:val="00471CDE"/>
    <w:rsid w:val="0047216C"/>
    <w:rsid w:val="0047331C"/>
    <w:rsid w:val="00474C33"/>
    <w:rsid w:val="0047536C"/>
    <w:rsid w:val="0047572B"/>
    <w:rsid w:val="00476050"/>
    <w:rsid w:val="004768F2"/>
    <w:rsid w:val="00476CAD"/>
    <w:rsid w:val="00477256"/>
    <w:rsid w:val="00477455"/>
    <w:rsid w:val="004807E3"/>
    <w:rsid w:val="00480D23"/>
    <w:rsid w:val="00481131"/>
    <w:rsid w:val="0048130D"/>
    <w:rsid w:val="00482167"/>
    <w:rsid w:val="004822A1"/>
    <w:rsid w:val="004829B0"/>
    <w:rsid w:val="004832C4"/>
    <w:rsid w:val="00483C1D"/>
    <w:rsid w:val="00485177"/>
    <w:rsid w:val="00485464"/>
    <w:rsid w:val="00485492"/>
    <w:rsid w:val="00485BDB"/>
    <w:rsid w:val="004864C2"/>
    <w:rsid w:val="00486E50"/>
    <w:rsid w:val="00491E5A"/>
    <w:rsid w:val="00492258"/>
    <w:rsid w:val="00492558"/>
    <w:rsid w:val="00493216"/>
    <w:rsid w:val="00494346"/>
    <w:rsid w:val="0049656C"/>
    <w:rsid w:val="004969B6"/>
    <w:rsid w:val="004972DD"/>
    <w:rsid w:val="00497994"/>
    <w:rsid w:val="00497C56"/>
    <w:rsid w:val="004A00FD"/>
    <w:rsid w:val="004A0319"/>
    <w:rsid w:val="004A03FB"/>
    <w:rsid w:val="004A07E9"/>
    <w:rsid w:val="004A0D15"/>
    <w:rsid w:val="004A1D1B"/>
    <w:rsid w:val="004A2B72"/>
    <w:rsid w:val="004A32F3"/>
    <w:rsid w:val="004A40FB"/>
    <w:rsid w:val="004A43F6"/>
    <w:rsid w:val="004A4700"/>
    <w:rsid w:val="004A51CD"/>
    <w:rsid w:val="004A5853"/>
    <w:rsid w:val="004A59FA"/>
    <w:rsid w:val="004A68F4"/>
    <w:rsid w:val="004A7DA4"/>
    <w:rsid w:val="004B1194"/>
    <w:rsid w:val="004B169E"/>
    <w:rsid w:val="004B1F04"/>
    <w:rsid w:val="004B2030"/>
    <w:rsid w:val="004B20E3"/>
    <w:rsid w:val="004B35A2"/>
    <w:rsid w:val="004B3618"/>
    <w:rsid w:val="004B39DD"/>
    <w:rsid w:val="004B3A98"/>
    <w:rsid w:val="004B3EC2"/>
    <w:rsid w:val="004B41EB"/>
    <w:rsid w:val="004B41F8"/>
    <w:rsid w:val="004B513A"/>
    <w:rsid w:val="004B5CED"/>
    <w:rsid w:val="004B68D7"/>
    <w:rsid w:val="004B6ED9"/>
    <w:rsid w:val="004B7120"/>
    <w:rsid w:val="004B798E"/>
    <w:rsid w:val="004C0CAE"/>
    <w:rsid w:val="004C0E5F"/>
    <w:rsid w:val="004C1531"/>
    <w:rsid w:val="004C1974"/>
    <w:rsid w:val="004C229D"/>
    <w:rsid w:val="004C2E68"/>
    <w:rsid w:val="004C4C8B"/>
    <w:rsid w:val="004C58B3"/>
    <w:rsid w:val="004C5A95"/>
    <w:rsid w:val="004C615D"/>
    <w:rsid w:val="004C655E"/>
    <w:rsid w:val="004C6BCC"/>
    <w:rsid w:val="004C7CA8"/>
    <w:rsid w:val="004C7E7C"/>
    <w:rsid w:val="004D0219"/>
    <w:rsid w:val="004D1DC6"/>
    <w:rsid w:val="004D2B6C"/>
    <w:rsid w:val="004D3578"/>
    <w:rsid w:val="004D380D"/>
    <w:rsid w:val="004D3B46"/>
    <w:rsid w:val="004D3B50"/>
    <w:rsid w:val="004D3B69"/>
    <w:rsid w:val="004D4564"/>
    <w:rsid w:val="004D4A4E"/>
    <w:rsid w:val="004D4B07"/>
    <w:rsid w:val="004D6986"/>
    <w:rsid w:val="004E0B7F"/>
    <w:rsid w:val="004E0C79"/>
    <w:rsid w:val="004E0E22"/>
    <w:rsid w:val="004E1147"/>
    <w:rsid w:val="004E213A"/>
    <w:rsid w:val="004E2917"/>
    <w:rsid w:val="004E383E"/>
    <w:rsid w:val="004E419E"/>
    <w:rsid w:val="004E48C4"/>
    <w:rsid w:val="004E663F"/>
    <w:rsid w:val="004E6967"/>
    <w:rsid w:val="004E6A6C"/>
    <w:rsid w:val="004E7433"/>
    <w:rsid w:val="004E7D8F"/>
    <w:rsid w:val="004F012B"/>
    <w:rsid w:val="004F0DE1"/>
    <w:rsid w:val="004F0F3A"/>
    <w:rsid w:val="004F10A5"/>
    <w:rsid w:val="004F156A"/>
    <w:rsid w:val="004F2463"/>
    <w:rsid w:val="004F29E2"/>
    <w:rsid w:val="004F4CE8"/>
    <w:rsid w:val="004F66F0"/>
    <w:rsid w:val="004F689B"/>
    <w:rsid w:val="004F6CC1"/>
    <w:rsid w:val="004F6D0B"/>
    <w:rsid w:val="00502735"/>
    <w:rsid w:val="00502BC6"/>
    <w:rsid w:val="00503171"/>
    <w:rsid w:val="005037A0"/>
    <w:rsid w:val="00503942"/>
    <w:rsid w:val="005041E4"/>
    <w:rsid w:val="0050472B"/>
    <w:rsid w:val="00504CEB"/>
    <w:rsid w:val="005056A1"/>
    <w:rsid w:val="005060BF"/>
    <w:rsid w:val="005061AD"/>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0281"/>
    <w:rsid w:val="00522107"/>
    <w:rsid w:val="00522978"/>
    <w:rsid w:val="0052306A"/>
    <w:rsid w:val="005234CD"/>
    <w:rsid w:val="00523FEE"/>
    <w:rsid w:val="0052407E"/>
    <w:rsid w:val="0052442D"/>
    <w:rsid w:val="00524670"/>
    <w:rsid w:val="00524F4D"/>
    <w:rsid w:val="0052507F"/>
    <w:rsid w:val="00525928"/>
    <w:rsid w:val="00525F58"/>
    <w:rsid w:val="00526EDC"/>
    <w:rsid w:val="00527DB9"/>
    <w:rsid w:val="00527DE0"/>
    <w:rsid w:val="00532159"/>
    <w:rsid w:val="00532A92"/>
    <w:rsid w:val="00533A56"/>
    <w:rsid w:val="00533B45"/>
    <w:rsid w:val="00533ECD"/>
    <w:rsid w:val="00534A8A"/>
    <w:rsid w:val="00534DA0"/>
    <w:rsid w:val="0053506A"/>
    <w:rsid w:val="0053563D"/>
    <w:rsid w:val="00536CE9"/>
    <w:rsid w:val="005377D5"/>
    <w:rsid w:val="00540007"/>
    <w:rsid w:val="00540132"/>
    <w:rsid w:val="00540433"/>
    <w:rsid w:val="005423AB"/>
    <w:rsid w:val="005425EE"/>
    <w:rsid w:val="0054296F"/>
    <w:rsid w:val="00542AF3"/>
    <w:rsid w:val="00543584"/>
    <w:rsid w:val="00543E6C"/>
    <w:rsid w:val="00543F3A"/>
    <w:rsid w:val="00543F5F"/>
    <w:rsid w:val="005440E5"/>
    <w:rsid w:val="00544D36"/>
    <w:rsid w:val="00546749"/>
    <w:rsid w:val="00546CB4"/>
    <w:rsid w:val="00546F4B"/>
    <w:rsid w:val="005471F5"/>
    <w:rsid w:val="00547594"/>
    <w:rsid w:val="00547A5E"/>
    <w:rsid w:val="0055050A"/>
    <w:rsid w:val="005506D7"/>
    <w:rsid w:val="00550E93"/>
    <w:rsid w:val="00551ED5"/>
    <w:rsid w:val="00551ED6"/>
    <w:rsid w:val="00551F97"/>
    <w:rsid w:val="00552D11"/>
    <w:rsid w:val="00553021"/>
    <w:rsid w:val="00553221"/>
    <w:rsid w:val="005568C8"/>
    <w:rsid w:val="00556D31"/>
    <w:rsid w:val="00557FFB"/>
    <w:rsid w:val="00560693"/>
    <w:rsid w:val="0056076A"/>
    <w:rsid w:val="00560E9F"/>
    <w:rsid w:val="00562855"/>
    <w:rsid w:val="00563A66"/>
    <w:rsid w:val="00564334"/>
    <w:rsid w:val="0056469D"/>
    <w:rsid w:val="0056480F"/>
    <w:rsid w:val="00564851"/>
    <w:rsid w:val="00564E14"/>
    <w:rsid w:val="00565087"/>
    <w:rsid w:val="0056573F"/>
    <w:rsid w:val="005661F7"/>
    <w:rsid w:val="00566566"/>
    <w:rsid w:val="005672CF"/>
    <w:rsid w:val="005702AA"/>
    <w:rsid w:val="0057072F"/>
    <w:rsid w:val="00570858"/>
    <w:rsid w:val="0057085C"/>
    <w:rsid w:val="005714CA"/>
    <w:rsid w:val="00571FB4"/>
    <w:rsid w:val="00572590"/>
    <w:rsid w:val="00572D65"/>
    <w:rsid w:val="00572FC0"/>
    <w:rsid w:val="00573061"/>
    <w:rsid w:val="00573B7D"/>
    <w:rsid w:val="00573DDF"/>
    <w:rsid w:val="005740A5"/>
    <w:rsid w:val="0057551C"/>
    <w:rsid w:val="0057656C"/>
    <w:rsid w:val="005767C6"/>
    <w:rsid w:val="00576965"/>
    <w:rsid w:val="00576FC9"/>
    <w:rsid w:val="00577762"/>
    <w:rsid w:val="00580A44"/>
    <w:rsid w:val="00580E96"/>
    <w:rsid w:val="00581A36"/>
    <w:rsid w:val="00582153"/>
    <w:rsid w:val="00582B86"/>
    <w:rsid w:val="00582CDB"/>
    <w:rsid w:val="00583BFA"/>
    <w:rsid w:val="00584EE9"/>
    <w:rsid w:val="005855D7"/>
    <w:rsid w:val="00585F62"/>
    <w:rsid w:val="005862E2"/>
    <w:rsid w:val="00586897"/>
    <w:rsid w:val="00586CF6"/>
    <w:rsid w:val="00587B48"/>
    <w:rsid w:val="005900CE"/>
    <w:rsid w:val="00590CEE"/>
    <w:rsid w:val="00591952"/>
    <w:rsid w:val="005920E6"/>
    <w:rsid w:val="005927EE"/>
    <w:rsid w:val="00593B6E"/>
    <w:rsid w:val="005A00A7"/>
    <w:rsid w:val="005A05E7"/>
    <w:rsid w:val="005A09F0"/>
    <w:rsid w:val="005A0B42"/>
    <w:rsid w:val="005A0B84"/>
    <w:rsid w:val="005A14B6"/>
    <w:rsid w:val="005A166D"/>
    <w:rsid w:val="005A3165"/>
    <w:rsid w:val="005A4C47"/>
    <w:rsid w:val="005A5E85"/>
    <w:rsid w:val="005A61EC"/>
    <w:rsid w:val="005A65E6"/>
    <w:rsid w:val="005A6667"/>
    <w:rsid w:val="005A6916"/>
    <w:rsid w:val="005A72BE"/>
    <w:rsid w:val="005A7A64"/>
    <w:rsid w:val="005A7F7D"/>
    <w:rsid w:val="005B06E5"/>
    <w:rsid w:val="005B1DC5"/>
    <w:rsid w:val="005B249B"/>
    <w:rsid w:val="005B26A7"/>
    <w:rsid w:val="005B2906"/>
    <w:rsid w:val="005B3BD4"/>
    <w:rsid w:val="005B3C26"/>
    <w:rsid w:val="005B3C9A"/>
    <w:rsid w:val="005B3ECB"/>
    <w:rsid w:val="005B3F26"/>
    <w:rsid w:val="005B46AD"/>
    <w:rsid w:val="005B4B82"/>
    <w:rsid w:val="005B6108"/>
    <w:rsid w:val="005B6571"/>
    <w:rsid w:val="005B6BCA"/>
    <w:rsid w:val="005B6E29"/>
    <w:rsid w:val="005B71A4"/>
    <w:rsid w:val="005B79E3"/>
    <w:rsid w:val="005C0207"/>
    <w:rsid w:val="005C15EC"/>
    <w:rsid w:val="005C16D1"/>
    <w:rsid w:val="005C2845"/>
    <w:rsid w:val="005C2B9E"/>
    <w:rsid w:val="005C32B3"/>
    <w:rsid w:val="005C43EE"/>
    <w:rsid w:val="005C4975"/>
    <w:rsid w:val="005C50FF"/>
    <w:rsid w:val="005C528A"/>
    <w:rsid w:val="005C532D"/>
    <w:rsid w:val="005C5D06"/>
    <w:rsid w:val="005C7D09"/>
    <w:rsid w:val="005C7E45"/>
    <w:rsid w:val="005D0D7F"/>
    <w:rsid w:val="005D1170"/>
    <w:rsid w:val="005D2DC8"/>
    <w:rsid w:val="005D44D7"/>
    <w:rsid w:val="005D4764"/>
    <w:rsid w:val="005D5447"/>
    <w:rsid w:val="005D5D12"/>
    <w:rsid w:val="005D5F79"/>
    <w:rsid w:val="005D661E"/>
    <w:rsid w:val="005D73AF"/>
    <w:rsid w:val="005D75B8"/>
    <w:rsid w:val="005E0023"/>
    <w:rsid w:val="005E0429"/>
    <w:rsid w:val="005E077C"/>
    <w:rsid w:val="005E08D4"/>
    <w:rsid w:val="005E0D5C"/>
    <w:rsid w:val="005E124F"/>
    <w:rsid w:val="005E1A07"/>
    <w:rsid w:val="005E1A53"/>
    <w:rsid w:val="005E467F"/>
    <w:rsid w:val="005E4D36"/>
    <w:rsid w:val="005E5D32"/>
    <w:rsid w:val="005E5D4F"/>
    <w:rsid w:val="005E6A6C"/>
    <w:rsid w:val="005E6ECA"/>
    <w:rsid w:val="005F071B"/>
    <w:rsid w:val="005F0CC8"/>
    <w:rsid w:val="005F21F1"/>
    <w:rsid w:val="005F2EDF"/>
    <w:rsid w:val="005F301B"/>
    <w:rsid w:val="005F3692"/>
    <w:rsid w:val="005F4E8E"/>
    <w:rsid w:val="005F5010"/>
    <w:rsid w:val="005F5030"/>
    <w:rsid w:val="005F5119"/>
    <w:rsid w:val="005F520C"/>
    <w:rsid w:val="005F647D"/>
    <w:rsid w:val="005F6D71"/>
    <w:rsid w:val="005F70C3"/>
    <w:rsid w:val="005F75EC"/>
    <w:rsid w:val="005F7CBF"/>
    <w:rsid w:val="0060057D"/>
    <w:rsid w:val="0060164A"/>
    <w:rsid w:val="00601A5C"/>
    <w:rsid w:val="00602098"/>
    <w:rsid w:val="00602336"/>
    <w:rsid w:val="00602641"/>
    <w:rsid w:val="00603219"/>
    <w:rsid w:val="00605118"/>
    <w:rsid w:val="00605761"/>
    <w:rsid w:val="00605A6A"/>
    <w:rsid w:val="00606713"/>
    <w:rsid w:val="006067A4"/>
    <w:rsid w:val="006068B1"/>
    <w:rsid w:val="006076A7"/>
    <w:rsid w:val="00607FD8"/>
    <w:rsid w:val="00610326"/>
    <w:rsid w:val="00610743"/>
    <w:rsid w:val="00610CEE"/>
    <w:rsid w:val="006112AF"/>
    <w:rsid w:val="006113E3"/>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17BB"/>
    <w:rsid w:val="006222CC"/>
    <w:rsid w:val="00622582"/>
    <w:rsid w:val="00622A05"/>
    <w:rsid w:val="00623713"/>
    <w:rsid w:val="00623A25"/>
    <w:rsid w:val="006260C4"/>
    <w:rsid w:val="00626696"/>
    <w:rsid w:val="00626EC6"/>
    <w:rsid w:val="0062739F"/>
    <w:rsid w:val="0063146A"/>
    <w:rsid w:val="00631DBD"/>
    <w:rsid w:val="00632103"/>
    <w:rsid w:val="00632222"/>
    <w:rsid w:val="0063263C"/>
    <w:rsid w:val="00633F6B"/>
    <w:rsid w:val="0063460F"/>
    <w:rsid w:val="00634813"/>
    <w:rsid w:val="00635317"/>
    <w:rsid w:val="00635F47"/>
    <w:rsid w:val="006361C6"/>
    <w:rsid w:val="00636944"/>
    <w:rsid w:val="00636E0C"/>
    <w:rsid w:val="0063772E"/>
    <w:rsid w:val="0064042E"/>
    <w:rsid w:val="006410DA"/>
    <w:rsid w:val="00641F14"/>
    <w:rsid w:val="00642076"/>
    <w:rsid w:val="00642EFC"/>
    <w:rsid w:val="00643ADF"/>
    <w:rsid w:val="0064411C"/>
    <w:rsid w:val="00644487"/>
    <w:rsid w:val="00644E84"/>
    <w:rsid w:val="006454FE"/>
    <w:rsid w:val="00645B47"/>
    <w:rsid w:val="00645BDA"/>
    <w:rsid w:val="00645D44"/>
    <w:rsid w:val="006465F3"/>
    <w:rsid w:val="00646D99"/>
    <w:rsid w:val="006477C5"/>
    <w:rsid w:val="00647E8B"/>
    <w:rsid w:val="00650084"/>
    <w:rsid w:val="00650566"/>
    <w:rsid w:val="00650842"/>
    <w:rsid w:val="00650F54"/>
    <w:rsid w:val="00651125"/>
    <w:rsid w:val="00651A6B"/>
    <w:rsid w:val="00651C37"/>
    <w:rsid w:val="0065252A"/>
    <w:rsid w:val="00652646"/>
    <w:rsid w:val="00652AE5"/>
    <w:rsid w:val="006531CD"/>
    <w:rsid w:val="00653BA5"/>
    <w:rsid w:val="006549BA"/>
    <w:rsid w:val="006550CF"/>
    <w:rsid w:val="006557C8"/>
    <w:rsid w:val="00655CD3"/>
    <w:rsid w:val="00656759"/>
    <w:rsid w:val="00656910"/>
    <w:rsid w:val="00656B4F"/>
    <w:rsid w:val="00657651"/>
    <w:rsid w:val="00657EB6"/>
    <w:rsid w:val="006600CD"/>
    <w:rsid w:val="00660764"/>
    <w:rsid w:val="00661099"/>
    <w:rsid w:val="00661E03"/>
    <w:rsid w:val="00662592"/>
    <w:rsid w:val="00662754"/>
    <w:rsid w:val="0066344B"/>
    <w:rsid w:val="00663F69"/>
    <w:rsid w:val="00663F9A"/>
    <w:rsid w:val="006645DE"/>
    <w:rsid w:val="00664D24"/>
    <w:rsid w:val="00665226"/>
    <w:rsid w:val="00665BE7"/>
    <w:rsid w:val="00666483"/>
    <w:rsid w:val="00666DD5"/>
    <w:rsid w:val="006674F2"/>
    <w:rsid w:val="00667703"/>
    <w:rsid w:val="006678B0"/>
    <w:rsid w:val="00670013"/>
    <w:rsid w:val="00670FA9"/>
    <w:rsid w:val="006711A5"/>
    <w:rsid w:val="00671B14"/>
    <w:rsid w:val="00672714"/>
    <w:rsid w:val="00672E6C"/>
    <w:rsid w:val="006731E0"/>
    <w:rsid w:val="00675615"/>
    <w:rsid w:val="00675F2C"/>
    <w:rsid w:val="006762DC"/>
    <w:rsid w:val="00676878"/>
    <w:rsid w:val="006768BE"/>
    <w:rsid w:val="00677D81"/>
    <w:rsid w:val="0068064C"/>
    <w:rsid w:val="00680C10"/>
    <w:rsid w:val="00681379"/>
    <w:rsid w:val="006829F2"/>
    <w:rsid w:val="00682D58"/>
    <w:rsid w:val="006856CF"/>
    <w:rsid w:val="006863A3"/>
    <w:rsid w:val="006901D6"/>
    <w:rsid w:val="0069166E"/>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6E6"/>
    <w:rsid w:val="006A180F"/>
    <w:rsid w:val="006A1CB3"/>
    <w:rsid w:val="006A334F"/>
    <w:rsid w:val="006A3EC5"/>
    <w:rsid w:val="006A456D"/>
    <w:rsid w:val="006A5153"/>
    <w:rsid w:val="006A54BE"/>
    <w:rsid w:val="006A643E"/>
    <w:rsid w:val="006A6944"/>
    <w:rsid w:val="006A6CC4"/>
    <w:rsid w:val="006A71C2"/>
    <w:rsid w:val="006A7792"/>
    <w:rsid w:val="006A796C"/>
    <w:rsid w:val="006B0254"/>
    <w:rsid w:val="006B0B1B"/>
    <w:rsid w:val="006B0F34"/>
    <w:rsid w:val="006B1907"/>
    <w:rsid w:val="006B2671"/>
    <w:rsid w:val="006B3EE4"/>
    <w:rsid w:val="006B4D84"/>
    <w:rsid w:val="006B4E0B"/>
    <w:rsid w:val="006B605E"/>
    <w:rsid w:val="006B6466"/>
    <w:rsid w:val="006B679A"/>
    <w:rsid w:val="006B7046"/>
    <w:rsid w:val="006B7943"/>
    <w:rsid w:val="006C032A"/>
    <w:rsid w:val="006C038A"/>
    <w:rsid w:val="006C1C4E"/>
    <w:rsid w:val="006C245C"/>
    <w:rsid w:val="006C2630"/>
    <w:rsid w:val="006C3888"/>
    <w:rsid w:val="006C3B88"/>
    <w:rsid w:val="006C3C6B"/>
    <w:rsid w:val="006C3F16"/>
    <w:rsid w:val="006C4CC8"/>
    <w:rsid w:val="006C6225"/>
    <w:rsid w:val="006C66D8"/>
    <w:rsid w:val="006C6718"/>
    <w:rsid w:val="006C768F"/>
    <w:rsid w:val="006D0C80"/>
    <w:rsid w:val="006D0CBF"/>
    <w:rsid w:val="006D0EC9"/>
    <w:rsid w:val="006D11E3"/>
    <w:rsid w:val="006D18C1"/>
    <w:rsid w:val="006D1E24"/>
    <w:rsid w:val="006D1F32"/>
    <w:rsid w:val="006D34AB"/>
    <w:rsid w:val="006D35D5"/>
    <w:rsid w:val="006D36AE"/>
    <w:rsid w:val="006D448F"/>
    <w:rsid w:val="006D4CB0"/>
    <w:rsid w:val="006D5205"/>
    <w:rsid w:val="006D5277"/>
    <w:rsid w:val="006D6D04"/>
    <w:rsid w:val="006D7157"/>
    <w:rsid w:val="006D7BD3"/>
    <w:rsid w:val="006D7D62"/>
    <w:rsid w:val="006D7EB8"/>
    <w:rsid w:val="006D7F56"/>
    <w:rsid w:val="006E08C3"/>
    <w:rsid w:val="006E1417"/>
    <w:rsid w:val="006E1583"/>
    <w:rsid w:val="006E4365"/>
    <w:rsid w:val="006E472C"/>
    <w:rsid w:val="006E5100"/>
    <w:rsid w:val="006E5AD2"/>
    <w:rsid w:val="006E6D90"/>
    <w:rsid w:val="006E6E5B"/>
    <w:rsid w:val="006E7397"/>
    <w:rsid w:val="006F05EF"/>
    <w:rsid w:val="006F0D09"/>
    <w:rsid w:val="006F0EE0"/>
    <w:rsid w:val="006F0EE1"/>
    <w:rsid w:val="006F1217"/>
    <w:rsid w:val="006F17B1"/>
    <w:rsid w:val="006F1C88"/>
    <w:rsid w:val="006F211A"/>
    <w:rsid w:val="006F25E4"/>
    <w:rsid w:val="006F2B6E"/>
    <w:rsid w:val="006F2BDE"/>
    <w:rsid w:val="006F2DB5"/>
    <w:rsid w:val="006F32EA"/>
    <w:rsid w:val="006F47F6"/>
    <w:rsid w:val="006F48CF"/>
    <w:rsid w:val="006F5D11"/>
    <w:rsid w:val="006F63AA"/>
    <w:rsid w:val="006F657C"/>
    <w:rsid w:val="006F678E"/>
    <w:rsid w:val="006F6A2C"/>
    <w:rsid w:val="006F6E95"/>
    <w:rsid w:val="006F78E6"/>
    <w:rsid w:val="0070033F"/>
    <w:rsid w:val="007003D2"/>
    <w:rsid w:val="00700547"/>
    <w:rsid w:val="0070085E"/>
    <w:rsid w:val="00701DDF"/>
    <w:rsid w:val="007023B1"/>
    <w:rsid w:val="00702AAA"/>
    <w:rsid w:val="00702F97"/>
    <w:rsid w:val="0070387E"/>
    <w:rsid w:val="00704C10"/>
    <w:rsid w:val="00705D88"/>
    <w:rsid w:val="00707177"/>
    <w:rsid w:val="007076A8"/>
    <w:rsid w:val="007076C6"/>
    <w:rsid w:val="00710175"/>
    <w:rsid w:val="00710201"/>
    <w:rsid w:val="0071066B"/>
    <w:rsid w:val="00710F96"/>
    <w:rsid w:val="007115C8"/>
    <w:rsid w:val="007123FE"/>
    <w:rsid w:val="0071245B"/>
    <w:rsid w:val="00712F4B"/>
    <w:rsid w:val="00712FE0"/>
    <w:rsid w:val="007132BD"/>
    <w:rsid w:val="00713C82"/>
    <w:rsid w:val="00715050"/>
    <w:rsid w:val="007159EC"/>
    <w:rsid w:val="00716280"/>
    <w:rsid w:val="00716295"/>
    <w:rsid w:val="00716567"/>
    <w:rsid w:val="0071689E"/>
    <w:rsid w:val="00716B28"/>
    <w:rsid w:val="00717687"/>
    <w:rsid w:val="00717A1C"/>
    <w:rsid w:val="00717BA6"/>
    <w:rsid w:val="0072014D"/>
    <w:rsid w:val="00720431"/>
    <w:rsid w:val="0072164B"/>
    <w:rsid w:val="007217A1"/>
    <w:rsid w:val="00721DC7"/>
    <w:rsid w:val="00721FCB"/>
    <w:rsid w:val="00723E91"/>
    <w:rsid w:val="00725508"/>
    <w:rsid w:val="0072678F"/>
    <w:rsid w:val="00726B5F"/>
    <w:rsid w:val="00727896"/>
    <w:rsid w:val="00727C78"/>
    <w:rsid w:val="00730422"/>
    <w:rsid w:val="00730E54"/>
    <w:rsid w:val="00732AA1"/>
    <w:rsid w:val="0073333A"/>
    <w:rsid w:val="00733990"/>
    <w:rsid w:val="00733ECD"/>
    <w:rsid w:val="00734A5B"/>
    <w:rsid w:val="00734CEE"/>
    <w:rsid w:val="00735E81"/>
    <w:rsid w:val="00735F8A"/>
    <w:rsid w:val="00737013"/>
    <w:rsid w:val="00740C93"/>
    <w:rsid w:val="007418B7"/>
    <w:rsid w:val="00741E7A"/>
    <w:rsid w:val="00742353"/>
    <w:rsid w:val="007429FF"/>
    <w:rsid w:val="00742F5E"/>
    <w:rsid w:val="007430DE"/>
    <w:rsid w:val="00744414"/>
    <w:rsid w:val="0074484B"/>
    <w:rsid w:val="00744E76"/>
    <w:rsid w:val="007453FD"/>
    <w:rsid w:val="007460EF"/>
    <w:rsid w:val="00746B6C"/>
    <w:rsid w:val="007475EA"/>
    <w:rsid w:val="00747A03"/>
    <w:rsid w:val="00747D0A"/>
    <w:rsid w:val="007500A0"/>
    <w:rsid w:val="007504A9"/>
    <w:rsid w:val="0075199C"/>
    <w:rsid w:val="00751A48"/>
    <w:rsid w:val="00753591"/>
    <w:rsid w:val="00753F0D"/>
    <w:rsid w:val="007542F1"/>
    <w:rsid w:val="007544BC"/>
    <w:rsid w:val="0075624E"/>
    <w:rsid w:val="007563D1"/>
    <w:rsid w:val="00757D40"/>
    <w:rsid w:val="0076017B"/>
    <w:rsid w:val="00760B2B"/>
    <w:rsid w:val="00761924"/>
    <w:rsid w:val="00761A1A"/>
    <w:rsid w:val="00762552"/>
    <w:rsid w:val="00763224"/>
    <w:rsid w:val="007636D3"/>
    <w:rsid w:val="00764C8E"/>
    <w:rsid w:val="00764ED7"/>
    <w:rsid w:val="007658B7"/>
    <w:rsid w:val="00765AC4"/>
    <w:rsid w:val="007665C4"/>
    <w:rsid w:val="00766694"/>
    <w:rsid w:val="00766967"/>
    <w:rsid w:val="00766D93"/>
    <w:rsid w:val="00767181"/>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3F6"/>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BA3"/>
    <w:rsid w:val="00785DE8"/>
    <w:rsid w:val="00786052"/>
    <w:rsid w:val="00786A8D"/>
    <w:rsid w:val="00786DED"/>
    <w:rsid w:val="0078727C"/>
    <w:rsid w:val="00787E4E"/>
    <w:rsid w:val="0079049D"/>
    <w:rsid w:val="007906D1"/>
    <w:rsid w:val="00790DEB"/>
    <w:rsid w:val="00791811"/>
    <w:rsid w:val="007927F3"/>
    <w:rsid w:val="00793504"/>
    <w:rsid w:val="00793A53"/>
    <w:rsid w:val="00793CCC"/>
    <w:rsid w:val="00793E48"/>
    <w:rsid w:val="00794590"/>
    <w:rsid w:val="00794C2E"/>
    <w:rsid w:val="00795C04"/>
    <w:rsid w:val="0079664E"/>
    <w:rsid w:val="00796B71"/>
    <w:rsid w:val="007A043D"/>
    <w:rsid w:val="007A0634"/>
    <w:rsid w:val="007A0DCF"/>
    <w:rsid w:val="007A12E0"/>
    <w:rsid w:val="007A14D7"/>
    <w:rsid w:val="007A1B2A"/>
    <w:rsid w:val="007A2383"/>
    <w:rsid w:val="007A53D1"/>
    <w:rsid w:val="007A5735"/>
    <w:rsid w:val="007A616B"/>
    <w:rsid w:val="007A665C"/>
    <w:rsid w:val="007A6C33"/>
    <w:rsid w:val="007A7083"/>
    <w:rsid w:val="007A72E5"/>
    <w:rsid w:val="007B18D8"/>
    <w:rsid w:val="007B25B1"/>
    <w:rsid w:val="007B2A4B"/>
    <w:rsid w:val="007B2D41"/>
    <w:rsid w:val="007B3472"/>
    <w:rsid w:val="007B4DC1"/>
    <w:rsid w:val="007B4E01"/>
    <w:rsid w:val="007B5408"/>
    <w:rsid w:val="007B54D6"/>
    <w:rsid w:val="007B579C"/>
    <w:rsid w:val="007B5C20"/>
    <w:rsid w:val="007B6151"/>
    <w:rsid w:val="007B6D58"/>
    <w:rsid w:val="007B7D44"/>
    <w:rsid w:val="007C02C2"/>
    <w:rsid w:val="007C095F"/>
    <w:rsid w:val="007C1897"/>
    <w:rsid w:val="007C18BE"/>
    <w:rsid w:val="007C2012"/>
    <w:rsid w:val="007C2977"/>
    <w:rsid w:val="007C2A7F"/>
    <w:rsid w:val="007C3B66"/>
    <w:rsid w:val="007C4349"/>
    <w:rsid w:val="007C5CE3"/>
    <w:rsid w:val="007C67D2"/>
    <w:rsid w:val="007C77C4"/>
    <w:rsid w:val="007C7CD2"/>
    <w:rsid w:val="007D0209"/>
    <w:rsid w:val="007D034C"/>
    <w:rsid w:val="007D0BB7"/>
    <w:rsid w:val="007D107C"/>
    <w:rsid w:val="007D1E8E"/>
    <w:rsid w:val="007D1FD5"/>
    <w:rsid w:val="007D2CEE"/>
    <w:rsid w:val="007D309E"/>
    <w:rsid w:val="007D4B38"/>
    <w:rsid w:val="007D4FA7"/>
    <w:rsid w:val="007D55DF"/>
    <w:rsid w:val="007D58E8"/>
    <w:rsid w:val="007D5BED"/>
    <w:rsid w:val="007D5EF6"/>
    <w:rsid w:val="007D618F"/>
    <w:rsid w:val="007D692E"/>
    <w:rsid w:val="007D7548"/>
    <w:rsid w:val="007D7D25"/>
    <w:rsid w:val="007E0A8D"/>
    <w:rsid w:val="007E29BC"/>
    <w:rsid w:val="007E4556"/>
    <w:rsid w:val="007E457A"/>
    <w:rsid w:val="007E47BD"/>
    <w:rsid w:val="007E515A"/>
    <w:rsid w:val="007F04EE"/>
    <w:rsid w:val="007F0EB1"/>
    <w:rsid w:val="007F14AD"/>
    <w:rsid w:val="007F18AB"/>
    <w:rsid w:val="007F31EB"/>
    <w:rsid w:val="007F448E"/>
    <w:rsid w:val="007F4A11"/>
    <w:rsid w:val="007F4F6A"/>
    <w:rsid w:val="007F6EA8"/>
    <w:rsid w:val="007F7268"/>
    <w:rsid w:val="007F7342"/>
    <w:rsid w:val="007F745D"/>
    <w:rsid w:val="007F7469"/>
    <w:rsid w:val="007F777F"/>
    <w:rsid w:val="00800D57"/>
    <w:rsid w:val="00800F3F"/>
    <w:rsid w:val="0080143C"/>
    <w:rsid w:val="008016F1"/>
    <w:rsid w:val="00801C71"/>
    <w:rsid w:val="008023C3"/>
    <w:rsid w:val="008028A4"/>
    <w:rsid w:val="00802A84"/>
    <w:rsid w:val="0080333D"/>
    <w:rsid w:val="00805094"/>
    <w:rsid w:val="00805E0B"/>
    <w:rsid w:val="00806310"/>
    <w:rsid w:val="0081057C"/>
    <w:rsid w:val="008107B2"/>
    <w:rsid w:val="00811D4B"/>
    <w:rsid w:val="00812B0C"/>
    <w:rsid w:val="00813245"/>
    <w:rsid w:val="00814C29"/>
    <w:rsid w:val="00814D0E"/>
    <w:rsid w:val="00815694"/>
    <w:rsid w:val="00815852"/>
    <w:rsid w:val="008168B6"/>
    <w:rsid w:val="00816D27"/>
    <w:rsid w:val="00817883"/>
    <w:rsid w:val="0081799E"/>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5E"/>
    <w:rsid w:val="008267DC"/>
    <w:rsid w:val="008271E3"/>
    <w:rsid w:val="008304CB"/>
    <w:rsid w:val="00830DE8"/>
    <w:rsid w:val="008324A5"/>
    <w:rsid w:val="00834604"/>
    <w:rsid w:val="00834A6D"/>
    <w:rsid w:val="00834D71"/>
    <w:rsid w:val="008350EE"/>
    <w:rsid w:val="0083538B"/>
    <w:rsid w:val="00835870"/>
    <w:rsid w:val="00837662"/>
    <w:rsid w:val="0084105A"/>
    <w:rsid w:val="008421A3"/>
    <w:rsid w:val="008425E9"/>
    <w:rsid w:val="00842EBF"/>
    <w:rsid w:val="00843911"/>
    <w:rsid w:val="008443EA"/>
    <w:rsid w:val="00844716"/>
    <w:rsid w:val="00845E80"/>
    <w:rsid w:val="0084763A"/>
    <w:rsid w:val="0084780F"/>
    <w:rsid w:val="0085097F"/>
    <w:rsid w:val="00850BBB"/>
    <w:rsid w:val="00850E2D"/>
    <w:rsid w:val="00851000"/>
    <w:rsid w:val="00851125"/>
    <w:rsid w:val="008519E3"/>
    <w:rsid w:val="00852621"/>
    <w:rsid w:val="00853B09"/>
    <w:rsid w:val="00854A4F"/>
    <w:rsid w:val="00855F66"/>
    <w:rsid w:val="00856127"/>
    <w:rsid w:val="008566EC"/>
    <w:rsid w:val="00856898"/>
    <w:rsid w:val="0085698E"/>
    <w:rsid w:val="008571AD"/>
    <w:rsid w:val="00857756"/>
    <w:rsid w:val="00857D79"/>
    <w:rsid w:val="008606D0"/>
    <w:rsid w:val="00860820"/>
    <w:rsid w:val="00860D01"/>
    <w:rsid w:val="00861E28"/>
    <w:rsid w:val="00862133"/>
    <w:rsid w:val="00862701"/>
    <w:rsid w:val="0086439C"/>
    <w:rsid w:val="0086528E"/>
    <w:rsid w:val="008653BB"/>
    <w:rsid w:val="00866F2D"/>
    <w:rsid w:val="00867167"/>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3BF5"/>
    <w:rsid w:val="0088441E"/>
    <w:rsid w:val="00884F4E"/>
    <w:rsid w:val="00886422"/>
    <w:rsid w:val="00887655"/>
    <w:rsid w:val="00887C52"/>
    <w:rsid w:val="008908C2"/>
    <w:rsid w:val="00890B86"/>
    <w:rsid w:val="008916F0"/>
    <w:rsid w:val="00891E1D"/>
    <w:rsid w:val="008922E8"/>
    <w:rsid w:val="00892C0E"/>
    <w:rsid w:val="00892E85"/>
    <w:rsid w:val="00893663"/>
    <w:rsid w:val="00893864"/>
    <w:rsid w:val="00894069"/>
    <w:rsid w:val="00895302"/>
    <w:rsid w:val="00896626"/>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1AC"/>
    <w:rsid w:val="008A7BEF"/>
    <w:rsid w:val="008B192A"/>
    <w:rsid w:val="008B1C2E"/>
    <w:rsid w:val="008B39E4"/>
    <w:rsid w:val="008B44F1"/>
    <w:rsid w:val="008B49F8"/>
    <w:rsid w:val="008B526F"/>
    <w:rsid w:val="008B5306"/>
    <w:rsid w:val="008B681A"/>
    <w:rsid w:val="008B6CFA"/>
    <w:rsid w:val="008B73DE"/>
    <w:rsid w:val="008B755C"/>
    <w:rsid w:val="008B75F8"/>
    <w:rsid w:val="008B7B40"/>
    <w:rsid w:val="008C0E06"/>
    <w:rsid w:val="008C1A63"/>
    <w:rsid w:val="008C20F7"/>
    <w:rsid w:val="008C35C7"/>
    <w:rsid w:val="008C3F92"/>
    <w:rsid w:val="008C42B8"/>
    <w:rsid w:val="008C5F7E"/>
    <w:rsid w:val="008C630B"/>
    <w:rsid w:val="008C685F"/>
    <w:rsid w:val="008C72B0"/>
    <w:rsid w:val="008C7888"/>
    <w:rsid w:val="008D05CE"/>
    <w:rsid w:val="008D0839"/>
    <w:rsid w:val="008D152A"/>
    <w:rsid w:val="008D1CD5"/>
    <w:rsid w:val="008D2258"/>
    <w:rsid w:val="008D3F0F"/>
    <w:rsid w:val="008D41A7"/>
    <w:rsid w:val="008D467A"/>
    <w:rsid w:val="008D629D"/>
    <w:rsid w:val="008D66EA"/>
    <w:rsid w:val="008D760B"/>
    <w:rsid w:val="008D7B2D"/>
    <w:rsid w:val="008D7F4B"/>
    <w:rsid w:val="008E131E"/>
    <w:rsid w:val="008E15B7"/>
    <w:rsid w:val="008E185B"/>
    <w:rsid w:val="008E278B"/>
    <w:rsid w:val="008E345E"/>
    <w:rsid w:val="008E3B19"/>
    <w:rsid w:val="008E412B"/>
    <w:rsid w:val="008E457E"/>
    <w:rsid w:val="008E5947"/>
    <w:rsid w:val="008E79A5"/>
    <w:rsid w:val="008F0F2E"/>
    <w:rsid w:val="008F167A"/>
    <w:rsid w:val="008F2039"/>
    <w:rsid w:val="008F2BF7"/>
    <w:rsid w:val="008F2E9A"/>
    <w:rsid w:val="008F32C3"/>
    <w:rsid w:val="008F4882"/>
    <w:rsid w:val="008F4C67"/>
    <w:rsid w:val="008F4F70"/>
    <w:rsid w:val="008F5B0B"/>
    <w:rsid w:val="008F5BD4"/>
    <w:rsid w:val="008F65C7"/>
    <w:rsid w:val="008F665F"/>
    <w:rsid w:val="00900F96"/>
    <w:rsid w:val="00901335"/>
    <w:rsid w:val="0090187C"/>
    <w:rsid w:val="00901D09"/>
    <w:rsid w:val="009024E8"/>
    <w:rsid w:val="0090271F"/>
    <w:rsid w:val="00902DB9"/>
    <w:rsid w:val="0090352B"/>
    <w:rsid w:val="0090466A"/>
    <w:rsid w:val="00904715"/>
    <w:rsid w:val="00904B66"/>
    <w:rsid w:val="009062D3"/>
    <w:rsid w:val="00906B5B"/>
    <w:rsid w:val="00907DD2"/>
    <w:rsid w:val="00911879"/>
    <w:rsid w:val="00911A3A"/>
    <w:rsid w:val="00911DEA"/>
    <w:rsid w:val="0091282B"/>
    <w:rsid w:val="00912CD4"/>
    <w:rsid w:val="00914072"/>
    <w:rsid w:val="00914ACA"/>
    <w:rsid w:val="0091639A"/>
    <w:rsid w:val="00916AC0"/>
    <w:rsid w:val="00917ABE"/>
    <w:rsid w:val="0092024A"/>
    <w:rsid w:val="00920F40"/>
    <w:rsid w:val="00921D93"/>
    <w:rsid w:val="00921F58"/>
    <w:rsid w:val="00922DC1"/>
    <w:rsid w:val="0092322B"/>
    <w:rsid w:val="00924D2C"/>
    <w:rsid w:val="00925438"/>
    <w:rsid w:val="0092657D"/>
    <w:rsid w:val="0092672F"/>
    <w:rsid w:val="00926939"/>
    <w:rsid w:val="00927F80"/>
    <w:rsid w:val="00930348"/>
    <w:rsid w:val="00931098"/>
    <w:rsid w:val="00931360"/>
    <w:rsid w:val="0093169C"/>
    <w:rsid w:val="00931A5E"/>
    <w:rsid w:val="00931AF4"/>
    <w:rsid w:val="009327B3"/>
    <w:rsid w:val="009329B6"/>
    <w:rsid w:val="00932F53"/>
    <w:rsid w:val="00933867"/>
    <w:rsid w:val="0093387F"/>
    <w:rsid w:val="009338FD"/>
    <w:rsid w:val="00933F83"/>
    <w:rsid w:val="00934728"/>
    <w:rsid w:val="00936071"/>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98C"/>
    <w:rsid w:val="009507DC"/>
    <w:rsid w:val="00950E30"/>
    <w:rsid w:val="00952071"/>
    <w:rsid w:val="00952A0E"/>
    <w:rsid w:val="00953026"/>
    <w:rsid w:val="0095306B"/>
    <w:rsid w:val="0095382B"/>
    <w:rsid w:val="00953F84"/>
    <w:rsid w:val="009541E5"/>
    <w:rsid w:val="0095431B"/>
    <w:rsid w:val="00955470"/>
    <w:rsid w:val="00955E0D"/>
    <w:rsid w:val="0095664E"/>
    <w:rsid w:val="00956A9D"/>
    <w:rsid w:val="00956B8C"/>
    <w:rsid w:val="009575FF"/>
    <w:rsid w:val="00957D2B"/>
    <w:rsid w:val="00957E6F"/>
    <w:rsid w:val="00960AD7"/>
    <w:rsid w:val="00961922"/>
    <w:rsid w:val="00961A71"/>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0687"/>
    <w:rsid w:val="00981E97"/>
    <w:rsid w:val="0098205E"/>
    <w:rsid w:val="00982123"/>
    <w:rsid w:val="009827FB"/>
    <w:rsid w:val="00982E39"/>
    <w:rsid w:val="00983387"/>
    <w:rsid w:val="00983768"/>
    <w:rsid w:val="00983840"/>
    <w:rsid w:val="00983F29"/>
    <w:rsid w:val="00984778"/>
    <w:rsid w:val="00984CEB"/>
    <w:rsid w:val="009851DF"/>
    <w:rsid w:val="009859BF"/>
    <w:rsid w:val="00986FB4"/>
    <w:rsid w:val="0098707B"/>
    <w:rsid w:val="009871BA"/>
    <w:rsid w:val="00987366"/>
    <w:rsid w:val="009877F1"/>
    <w:rsid w:val="00987DD0"/>
    <w:rsid w:val="00990913"/>
    <w:rsid w:val="00991489"/>
    <w:rsid w:val="00991EA8"/>
    <w:rsid w:val="009929F6"/>
    <w:rsid w:val="00992A4D"/>
    <w:rsid w:val="00992DAF"/>
    <w:rsid w:val="009937BD"/>
    <w:rsid w:val="00993EA1"/>
    <w:rsid w:val="00993EBD"/>
    <w:rsid w:val="009951D6"/>
    <w:rsid w:val="00995433"/>
    <w:rsid w:val="00995C57"/>
    <w:rsid w:val="00996146"/>
    <w:rsid w:val="00996165"/>
    <w:rsid w:val="009968D4"/>
    <w:rsid w:val="009A0AF3"/>
    <w:rsid w:val="009A0ED1"/>
    <w:rsid w:val="009A15C1"/>
    <w:rsid w:val="009A1A25"/>
    <w:rsid w:val="009A1A7C"/>
    <w:rsid w:val="009A1E95"/>
    <w:rsid w:val="009A22A2"/>
    <w:rsid w:val="009A22B7"/>
    <w:rsid w:val="009A36A2"/>
    <w:rsid w:val="009A3D14"/>
    <w:rsid w:val="009A443C"/>
    <w:rsid w:val="009A50C5"/>
    <w:rsid w:val="009A5281"/>
    <w:rsid w:val="009A543D"/>
    <w:rsid w:val="009A7164"/>
    <w:rsid w:val="009A7362"/>
    <w:rsid w:val="009A7F1A"/>
    <w:rsid w:val="009A7FCC"/>
    <w:rsid w:val="009B07CD"/>
    <w:rsid w:val="009B113E"/>
    <w:rsid w:val="009B16DE"/>
    <w:rsid w:val="009B2074"/>
    <w:rsid w:val="009B2310"/>
    <w:rsid w:val="009B3AFF"/>
    <w:rsid w:val="009B45BC"/>
    <w:rsid w:val="009B4C32"/>
    <w:rsid w:val="009B5388"/>
    <w:rsid w:val="009B6E5C"/>
    <w:rsid w:val="009B70A3"/>
    <w:rsid w:val="009B73A2"/>
    <w:rsid w:val="009C03D7"/>
    <w:rsid w:val="009C0A19"/>
    <w:rsid w:val="009C1233"/>
    <w:rsid w:val="009C19E9"/>
    <w:rsid w:val="009C2148"/>
    <w:rsid w:val="009C2E96"/>
    <w:rsid w:val="009C3AE5"/>
    <w:rsid w:val="009C3DC2"/>
    <w:rsid w:val="009C407E"/>
    <w:rsid w:val="009C4235"/>
    <w:rsid w:val="009C427D"/>
    <w:rsid w:val="009C498A"/>
    <w:rsid w:val="009C4B6F"/>
    <w:rsid w:val="009C58C7"/>
    <w:rsid w:val="009C59A8"/>
    <w:rsid w:val="009C5B10"/>
    <w:rsid w:val="009C626B"/>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094C"/>
    <w:rsid w:val="009E164D"/>
    <w:rsid w:val="009E1963"/>
    <w:rsid w:val="009E1A17"/>
    <w:rsid w:val="009E2A02"/>
    <w:rsid w:val="009E2AA6"/>
    <w:rsid w:val="009E34EA"/>
    <w:rsid w:val="009E38C6"/>
    <w:rsid w:val="009E3C02"/>
    <w:rsid w:val="009E3D1A"/>
    <w:rsid w:val="009E44ED"/>
    <w:rsid w:val="009E5512"/>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3D8"/>
    <w:rsid w:val="009F4C6A"/>
    <w:rsid w:val="009F4ED8"/>
    <w:rsid w:val="009F4FAA"/>
    <w:rsid w:val="009F596A"/>
    <w:rsid w:val="009F682B"/>
    <w:rsid w:val="009F72E5"/>
    <w:rsid w:val="009F7BE7"/>
    <w:rsid w:val="009F7BF1"/>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415"/>
    <w:rsid w:val="00A10F02"/>
    <w:rsid w:val="00A11888"/>
    <w:rsid w:val="00A12025"/>
    <w:rsid w:val="00A14E25"/>
    <w:rsid w:val="00A15EA4"/>
    <w:rsid w:val="00A15FB2"/>
    <w:rsid w:val="00A204CA"/>
    <w:rsid w:val="00A207D2"/>
    <w:rsid w:val="00A211A4"/>
    <w:rsid w:val="00A212CA"/>
    <w:rsid w:val="00A215F6"/>
    <w:rsid w:val="00A21767"/>
    <w:rsid w:val="00A220DD"/>
    <w:rsid w:val="00A236C3"/>
    <w:rsid w:val="00A23966"/>
    <w:rsid w:val="00A23AC0"/>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09B"/>
    <w:rsid w:val="00A44AE9"/>
    <w:rsid w:val="00A45319"/>
    <w:rsid w:val="00A45665"/>
    <w:rsid w:val="00A46803"/>
    <w:rsid w:val="00A46A4A"/>
    <w:rsid w:val="00A46D15"/>
    <w:rsid w:val="00A47062"/>
    <w:rsid w:val="00A50FCA"/>
    <w:rsid w:val="00A51F4F"/>
    <w:rsid w:val="00A52986"/>
    <w:rsid w:val="00A52CC6"/>
    <w:rsid w:val="00A53374"/>
    <w:rsid w:val="00A53724"/>
    <w:rsid w:val="00A53755"/>
    <w:rsid w:val="00A53D36"/>
    <w:rsid w:val="00A54875"/>
    <w:rsid w:val="00A55549"/>
    <w:rsid w:val="00A566A2"/>
    <w:rsid w:val="00A57C2B"/>
    <w:rsid w:val="00A62BFC"/>
    <w:rsid w:val="00A62F71"/>
    <w:rsid w:val="00A63599"/>
    <w:rsid w:val="00A6496B"/>
    <w:rsid w:val="00A64C1E"/>
    <w:rsid w:val="00A65425"/>
    <w:rsid w:val="00A65C1F"/>
    <w:rsid w:val="00A6627C"/>
    <w:rsid w:val="00A66990"/>
    <w:rsid w:val="00A6756A"/>
    <w:rsid w:val="00A678BB"/>
    <w:rsid w:val="00A67A7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6C77"/>
    <w:rsid w:val="00A77F59"/>
    <w:rsid w:val="00A80334"/>
    <w:rsid w:val="00A80DB8"/>
    <w:rsid w:val="00A818B7"/>
    <w:rsid w:val="00A81D4E"/>
    <w:rsid w:val="00A82346"/>
    <w:rsid w:val="00A825BF"/>
    <w:rsid w:val="00A845B8"/>
    <w:rsid w:val="00A85BB3"/>
    <w:rsid w:val="00A85D61"/>
    <w:rsid w:val="00A86F9E"/>
    <w:rsid w:val="00A87209"/>
    <w:rsid w:val="00A879D3"/>
    <w:rsid w:val="00A902C7"/>
    <w:rsid w:val="00A922D6"/>
    <w:rsid w:val="00A92644"/>
    <w:rsid w:val="00A92840"/>
    <w:rsid w:val="00A930A8"/>
    <w:rsid w:val="00A93B3A"/>
    <w:rsid w:val="00A952F0"/>
    <w:rsid w:val="00A954CF"/>
    <w:rsid w:val="00A954D8"/>
    <w:rsid w:val="00A9564C"/>
    <w:rsid w:val="00A95803"/>
    <w:rsid w:val="00A95CDB"/>
    <w:rsid w:val="00A9671C"/>
    <w:rsid w:val="00A96A18"/>
    <w:rsid w:val="00A96A24"/>
    <w:rsid w:val="00A9769E"/>
    <w:rsid w:val="00A97749"/>
    <w:rsid w:val="00A97F5F"/>
    <w:rsid w:val="00AA0E5A"/>
    <w:rsid w:val="00AA14AF"/>
    <w:rsid w:val="00AA1553"/>
    <w:rsid w:val="00AA21E5"/>
    <w:rsid w:val="00AA3188"/>
    <w:rsid w:val="00AA3F79"/>
    <w:rsid w:val="00AA423E"/>
    <w:rsid w:val="00AA4494"/>
    <w:rsid w:val="00AA46E7"/>
    <w:rsid w:val="00AA57EE"/>
    <w:rsid w:val="00AA5F77"/>
    <w:rsid w:val="00AA6E7D"/>
    <w:rsid w:val="00AA7EC1"/>
    <w:rsid w:val="00AB00C3"/>
    <w:rsid w:val="00AB0409"/>
    <w:rsid w:val="00AB04C1"/>
    <w:rsid w:val="00AB0FA6"/>
    <w:rsid w:val="00AB1408"/>
    <w:rsid w:val="00AB163A"/>
    <w:rsid w:val="00AB17A0"/>
    <w:rsid w:val="00AB195A"/>
    <w:rsid w:val="00AB1A97"/>
    <w:rsid w:val="00AB1E14"/>
    <w:rsid w:val="00AB2482"/>
    <w:rsid w:val="00AB2758"/>
    <w:rsid w:val="00AB27C6"/>
    <w:rsid w:val="00AB336F"/>
    <w:rsid w:val="00AB4860"/>
    <w:rsid w:val="00AB4F3D"/>
    <w:rsid w:val="00AB504B"/>
    <w:rsid w:val="00AB5737"/>
    <w:rsid w:val="00AB5A5A"/>
    <w:rsid w:val="00AB5A7E"/>
    <w:rsid w:val="00AB5F1B"/>
    <w:rsid w:val="00AB6EC0"/>
    <w:rsid w:val="00AB71C6"/>
    <w:rsid w:val="00AB72B9"/>
    <w:rsid w:val="00AB7EA2"/>
    <w:rsid w:val="00AB7ED2"/>
    <w:rsid w:val="00AC0234"/>
    <w:rsid w:val="00AC1B7B"/>
    <w:rsid w:val="00AC1E31"/>
    <w:rsid w:val="00AC26C2"/>
    <w:rsid w:val="00AC32F1"/>
    <w:rsid w:val="00AC3E63"/>
    <w:rsid w:val="00AC4227"/>
    <w:rsid w:val="00AC4320"/>
    <w:rsid w:val="00AC53D4"/>
    <w:rsid w:val="00AC53FE"/>
    <w:rsid w:val="00AC5D25"/>
    <w:rsid w:val="00AC6120"/>
    <w:rsid w:val="00AC68B0"/>
    <w:rsid w:val="00AD08DE"/>
    <w:rsid w:val="00AD0C68"/>
    <w:rsid w:val="00AD0F1D"/>
    <w:rsid w:val="00AD2619"/>
    <w:rsid w:val="00AD3EBD"/>
    <w:rsid w:val="00AD5427"/>
    <w:rsid w:val="00AD54D3"/>
    <w:rsid w:val="00AD5B72"/>
    <w:rsid w:val="00AD7EB7"/>
    <w:rsid w:val="00AE06A4"/>
    <w:rsid w:val="00AE095D"/>
    <w:rsid w:val="00AE0B40"/>
    <w:rsid w:val="00AE1098"/>
    <w:rsid w:val="00AE1871"/>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6E32"/>
    <w:rsid w:val="00AF73ED"/>
    <w:rsid w:val="00AF7C04"/>
    <w:rsid w:val="00B0013F"/>
    <w:rsid w:val="00B00179"/>
    <w:rsid w:val="00B002EA"/>
    <w:rsid w:val="00B02088"/>
    <w:rsid w:val="00B024E5"/>
    <w:rsid w:val="00B02A76"/>
    <w:rsid w:val="00B03284"/>
    <w:rsid w:val="00B033FA"/>
    <w:rsid w:val="00B0343F"/>
    <w:rsid w:val="00B03746"/>
    <w:rsid w:val="00B03E06"/>
    <w:rsid w:val="00B03E67"/>
    <w:rsid w:val="00B03F15"/>
    <w:rsid w:val="00B046A0"/>
    <w:rsid w:val="00B053AC"/>
    <w:rsid w:val="00B0571A"/>
    <w:rsid w:val="00B06257"/>
    <w:rsid w:val="00B0648D"/>
    <w:rsid w:val="00B07807"/>
    <w:rsid w:val="00B07AAA"/>
    <w:rsid w:val="00B105FB"/>
    <w:rsid w:val="00B10627"/>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6CC2"/>
    <w:rsid w:val="00B17C5E"/>
    <w:rsid w:val="00B17C6C"/>
    <w:rsid w:val="00B204DA"/>
    <w:rsid w:val="00B20900"/>
    <w:rsid w:val="00B22441"/>
    <w:rsid w:val="00B22CF7"/>
    <w:rsid w:val="00B22EFB"/>
    <w:rsid w:val="00B2397F"/>
    <w:rsid w:val="00B252B2"/>
    <w:rsid w:val="00B25786"/>
    <w:rsid w:val="00B2755F"/>
    <w:rsid w:val="00B27CF3"/>
    <w:rsid w:val="00B27E81"/>
    <w:rsid w:val="00B30224"/>
    <w:rsid w:val="00B30ADA"/>
    <w:rsid w:val="00B331AE"/>
    <w:rsid w:val="00B33313"/>
    <w:rsid w:val="00B34C41"/>
    <w:rsid w:val="00B359B7"/>
    <w:rsid w:val="00B36BDD"/>
    <w:rsid w:val="00B37227"/>
    <w:rsid w:val="00B40AD0"/>
    <w:rsid w:val="00B40C67"/>
    <w:rsid w:val="00B41CAC"/>
    <w:rsid w:val="00B42355"/>
    <w:rsid w:val="00B42667"/>
    <w:rsid w:val="00B42C34"/>
    <w:rsid w:val="00B432CB"/>
    <w:rsid w:val="00B4405B"/>
    <w:rsid w:val="00B444B8"/>
    <w:rsid w:val="00B44E37"/>
    <w:rsid w:val="00B45ACC"/>
    <w:rsid w:val="00B465AD"/>
    <w:rsid w:val="00B4746E"/>
    <w:rsid w:val="00B47A4D"/>
    <w:rsid w:val="00B47FD1"/>
    <w:rsid w:val="00B516BB"/>
    <w:rsid w:val="00B51B0A"/>
    <w:rsid w:val="00B51ED2"/>
    <w:rsid w:val="00B5205D"/>
    <w:rsid w:val="00B528CB"/>
    <w:rsid w:val="00B52AFD"/>
    <w:rsid w:val="00B54665"/>
    <w:rsid w:val="00B54B44"/>
    <w:rsid w:val="00B5506A"/>
    <w:rsid w:val="00B55369"/>
    <w:rsid w:val="00B55FE7"/>
    <w:rsid w:val="00B56EBC"/>
    <w:rsid w:val="00B57B2F"/>
    <w:rsid w:val="00B60645"/>
    <w:rsid w:val="00B61417"/>
    <w:rsid w:val="00B61E63"/>
    <w:rsid w:val="00B62989"/>
    <w:rsid w:val="00B633C3"/>
    <w:rsid w:val="00B6406E"/>
    <w:rsid w:val="00B642B6"/>
    <w:rsid w:val="00B64D3C"/>
    <w:rsid w:val="00B654A9"/>
    <w:rsid w:val="00B65E42"/>
    <w:rsid w:val="00B6646D"/>
    <w:rsid w:val="00B66F9B"/>
    <w:rsid w:val="00B6737A"/>
    <w:rsid w:val="00B67832"/>
    <w:rsid w:val="00B701A0"/>
    <w:rsid w:val="00B70348"/>
    <w:rsid w:val="00B7177F"/>
    <w:rsid w:val="00B72ABB"/>
    <w:rsid w:val="00B72CC9"/>
    <w:rsid w:val="00B73321"/>
    <w:rsid w:val="00B73B10"/>
    <w:rsid w:val="00B73C97"/>
    <w:rsid w:val="00B73D0C"/>
    <w:rsid w:val="00B74482"/>
    <w:rsid w:val="00B74842"/>
    <w:rsid w:val="00B750C0"/>
    <w:rsid w:val="00B751DC"/>
    <w:rsid w:val="00B76DA4"/>
    <w:rsid w:val="00B7739C"/>
    <w:rsid w:val="00B77ABD"/>
    <w:rsid w:val="00B8019B"/>
    <w:rsid w:val="00B80F4F"/>
    <w:rsid w:val="00B82DD7"/>
    <w:rsid w:val="00B83F98"/>
    <w:rsid w:val="00B83F9A"/>
    <w:rsid w:val="00B84656"/>
    <w:rsid w:val="00B84B18"/>
    <w:rsid w:val="00B84E57"/>
    <w:rsid w:val="00B85051"/>
    <w:rsid w:val="00B86A6B"/>
    <w:rsid w:val="00B86DA8"/>
    <w:rsid w:val="00B8739B"/>
    <w:rsid w:val="00B87E65"/>
    <w:rsid w:val="00B904DB"/>
    <w:rsid w:val="00B91084"/>
    <w:rsid w:val="00B912B1"/>
    <w:rsid w:val="00B91DB0"/>
    <w:rsid w:val="00B92D6D"/>
    <w:rsid w:val="00B932FC"/>
    <w:rsid w:val="00B93406"/>
    <w:rsid w:val="00B948F8"/>
    <w:rsid w:val="00B96CCF"/>
    <w:rsid w:val="00B96FD8"/>
    <w:rsid w:val="00B97C71"/>
    <w:rsid w:val="00B97CBC"/>
    <w:rsid w:val="00BA0D19"/>
    <w:rsid w:val="00BA1B32"/>
    <w:rsid w:val="00BA2233"/>
    <w:rsid w:val="00BA2ABC"/>
    <w:rsid w:val="00BA2B02"/>
    <w:rsid w:val="00BA3230"/>
    <w:rsid w:val="00BA33DF"/>
    <w:rsid w:val="00BA37B5"/>
    <w:rsid w:val="00BA3913"/>
    <w:rsid w:val="00BA3C63"/>
    <w:rsid w:val="00BA5540"/>
    <w:rsid w:val="00BA59B4"/>
    <w:rsid w:val="00BA601F"/>
    <w:rsid w:val="00BA6350"/>
    <w:rsid w:val="00BA695C"/>
    <w:rsid w:val="00BA6B3D"/>
    <w:rsid w:val="00BA7C98"/>
    <w:rsid w:val="00BA7FDD"/>
    <w:rsid w:val="00BB06CA"/>
    <w:rsid w:val="00BB1117"/>
    <w:rsid w:val="00BB1993"/>
    <w:rsid w:val="00BB1AF7"/>
    <w:rsid w:val="00BB1D64"/>
    <w:rsid w:val="00BB5E22"/>
    <w:rsid w:val="00BB6134"/>
    <w:rsid w:val="00BB6461"/>
    <w:rsid w:val="00BB6E24"/>
    <w:rsid w:val="00BB72E6"/>
    <w:rsid w:val="00BB7F92"/>
    <w:rsid w:val="00BC02B4"/>
    <w:rsid w:val="00BC136A"/>
    <w:rsid w:val="00BC175D"/>
    <w:rsid w:val="00BC1BBC"/>
    <w:rsid w:val="00BC1C99"/>
    <w:rsid w:val="00BC239D"/>
    <w:rsid w:val="00BC27D7"/>
    <w:rsid w:val="00BC2D6C"/>
    <w:rsid w:val="00BC30AE"/>
    <w:rsid w:val="00BC315E"/>
    <w:rsid w:val="00BC3A5F"/>
    <w:rsid w:val="00BC3F9A"/>
    <w:rsid w:val="00BC41B5"/>
    <w:rsid w:val="00BC456E"/>
    <w:rsid w:val="00BC4AAD"/>
    <w:rsid w:val="00BC4C36"/>
    <w:rsid w:val="00BC4DE5"/>
    <w:rsid w:val="00BC5982"/>
    <w:rsid w:val="00BC5A4D"/>
    <w:rsid w:val="00BC5F52"/>
    <w:rsid w:val="00BC707A"/>
    <w:rsid w:val="00BC7783"/>
    <w:rsid w:val="00BD04FB"/>
    <w:rsid w:val="00BD091C"/>
    <w:rsid w:val="00BD11C0"/>
    <w:rsid w:val="00BD1631"/>
    <w:rsid w:val="00BD1865"/>
    <w:rsid w:val="00BD234F"/>
    <w:rsid w:val="00BD2815"/>
    <w:rsid w:val="00BD286D"/>
    <w:rsid w:val="00BD28CB"/>
    <w:rsid w:val="00BD31D3"/>
    <w:rsid w:val="00BD3346"/>
    <w:rsid w:val="00BD4768"/>
    <w:rsid w:val="00BD55FC"/>
    <w:rsid w:val="00BD6273"/>
    <w:rsid w:val="00BD67B1"/>
    <w:rsid w:val="00BD6B19"/>
    <w:rsid w:val="00BD74EE"/>
    <w:rsid w:val="00BE1D51"/>
    <w:rsid w:val="00BE2C8F"/>
    <w:rsid w:val="00BE2D3E"/>
    <w:rsid w:val="00BE32CE"/>
    <w:rsid w:val="00BE5261"/>
    <w:rsid w:val="00BE7500"/>
    <w:rsid w:val="00BE784C"/>
    <w:rsid w:val="00BE7B3F"/>
    <w:rsid w:val="00BF05ED"/>
    <w:rsid w:val="00BF0EB3"/>
    <w:rsid w:val="00BF178C"/>
    <w:rsid w:val="00BF17EA"/>
    <w:rsid w:val="00BF1CF3"/>
    <w:rsid w:val="00BF1E04"/>
    <w:rsid w:val="00BF296A"/>
    <w:rsid w:val="00BF4416"/>
    <w:rsid w:val="00BF449E"/>
    <w:rsid w:val="00BF46D7"/>
    <w:rsid w:val="00BF5561"/>
    <w:rsid w:val="00BF630D"/>
    <w:rsid w:val="00BF6DD4"/>
    <w:rsid w:val="00BF6EB6"/>
    <w:rsid w:val="00BF6F0E"/>
    <w:rsid w:val="00BF7C02"/>
    <w:rsid w:val="00BF7DBE"/>
    <w:rsid w:val="00C003F2"/>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619"/>
    <w:rsid w:val="00C15264"/>
    <w:rsid w:val="00C15795"/>
    <w:rsid w:val="00C16357"/>
    <w:rsid w:val="00C17978"/>
    <w:rsid w:val="00C2032B"/>
    <w:rsid w:val="00C205AF"/>
    <w:rsid w:val="00C20820"/>
    <w:rsid w:val="00C20E9C"/>
    <w:rsid w:val="00C20F6E"/>
    <w:rsid w:val="00C21501"/>
    <w:rsid w:val="00C2251F"/>
    <w:rsid w:val="00C230AE"/>
    <w:rsid w:val="00C235C7"/>
    <w:rsid w:val="00C23FA7"/>
    <w:rsid w:val="00C24132"/>
    <w:rsid w:val="00C24650"/>
    <w:rsid w:val="00C2597A"/>
    <w:rsid w:val="00C25AAF"/>
    <w:rsid w:val="00C25F17"/>
    <w:rsid w:val="00C267B2"/>
    <w:rsid w:val="00C269A3"/>
    <w:rsid w:val="00C2738A"/>
    <w:rsid w:val="00C27752"/>
    <w:rsid w:val="00C27B36"/>
    <w:rsid w:val="00C307F8"/>
    <w:rsid w:val="00C311C2"/>
    <w:rsid w:val="00C31C47"/>
    <w:rsid w:val="00C32347"/>
    <w:rsid w:val="00C323A1"/>
    <w:rsid w:val="00C33079"/>
    <w:rsid w:val="00C330DF"/>
    <w:rsid w:val="00C33133"/>
    <w:rsid w:val="00C333E9"/>
    <w:rsid w:val="00C34690"/>
    <w:rsid w:val="00C34A94"/>
    <w:rsid w:val="00C34F52"/>
    <w:rsid w:val="00C35336"/>
    <w:rsid w:val="00C354F8"/>
    <w:rsid w:val="00C36625"/>
    <w:rsid w:val="00C36915"/>
    <w:rsid w:val="00C3692B"/>
    <w:rsid w:val="00C3770C"/>
    <w:rsid w:val="00C37FDE"/>
    <w:rsid w:val="00C41500"/>
    <w:rsid w:val="00C42782"/>
    <w:rsid w:val="00C43926"/>
    <w:rsid w:val="00C44122"/>
    <w:rsid w:val="00C443E7"/>
    <w:rsid w:val="00C4443E"/>
    <w:rsid w:val="00C4478D"/>
    <w:rsid w:val="00C44FF8"/>
    <w:rsid w:val="00C46C01"/>
    <w:rsid w:val="00C47A66"/>
    <w:rsid w:val="00C47D2D"/>
    <w:rsid w:val="00C47F3D"/>
    <w:rsid w:val="00C50B68"/>
    <w:rsid w:val="00C51135"/>
    <w:rsid w:val="00C51D27"/>
    <w:rsid w:val="00C539C1"/>
    <w:rsid w:val="00C53EEB"/>
    <w:rsid w:val="00C5403F"/>
    <w:rsid w:val="00C54E61"/>
    <w:rsid w:val="00C556FB"/>
    <w:rsid w:val="00C55E9B"/>
    <w:rsid w:val="00C57059"/>
    <w:rsid w:val="00C571B2"/>
    <w:rsid w:val="00C614CA"/>
    <w:rsid w:val="00C614FA"/>
    <w:rsid w:val="00C6236C"/>
    <w:rsid w:val="00C623F2"/>
    <w:rsid w:val="00C62547"/>
    <w:rsid w:val="00C6290A"/>
    <w:rsid w:val="00C62F27"/>
    <w:rsid w:val="00C6309C"/>
    <w:rsid w:val="00C63220"/>
    <w:rsid w:val="00C6391F"/>
    <w:rsid w:val="00C64F82"/>
    <w:rsid w:val="00C65A89"/>
    <w:rsid w:val="00C65E54"/>
    <w:rsid w:val="00C65F6D"/>
    <w:rsid w:val="00C65FAE"/>
    <w:rsid w:val="00C66A08"/>
    <w:rsid w:val="00C67BEA"/>
    <w:rsid w:val="00C7087A"/>
    <w:rsid w:val="00C709E8"/>
    <w:rsid w:val="00C7162C"/>
    <w:rsid w:val="00C72837"/>
    <w:rsid w:val="00C72FEF"/>
    <w:rsid w:val="00C73728"/>
    <w:rsid w:val="00C7458E"/>
    <w:rsid w:val="00C74A7B"/>
    <w:rsid w:val="00C74EFF"/>
    <w:rsid w:val="00C75635"/>
    <w:rsid w:val="00C7657F"/>
    <w:rsid w:val="00C768BB"/>
    <w:rsid w:val="00C76953"/>
    <w:rsid w:val="00C76E5B"/>
    <w:rsid w:val="00C773BD"/>
    <w:rsid w:val="00C80E4D"/>
    <w:rsid w:val="00C81847"/>
    <w:rsid w:val="00C8235D"/>
    <w:rsid w:val="00C8253A"/>
    <w:rsid w:val="00C831DA"/>
    <w:rsid w:val="00C8368A"/>
    <w:rsid w:val="00C83A13"/>
    <w:rsid w:val="00C844E3"/>
    <w:rsid w:val="00C8560D"/>
    <w:rsid w:val="00C864F6"/>
    <w:rsid w:val="00C865A4"/>
    <w:rsid w:val="00C86D1D"/>
    <w:rsid w:val="00C87B8D"/>
    <w:rsid w:val="00C903F3"/>
    <w:rsid w:val="00C9068C"/>
    <w:rsid w:val="00C90B11"/>
    <w:rsid w:val="00C91051"/>
    <w:rsid w:val="00C913CF"/>
    <w:rsid w:val="00C9285D"/>
    <w:rsid w:val="00C92967"/>
    <w:rsid w:val="00C93222"/>
    <w:rsid w:val="00C9499A"/>
    <w:rsid w:val="00C94B64"/>
    <w:rsid w:val="00C957B2"/>
    <w:rsid w:val="00C97DD9"/>
    <w:rsid w:val="00CA045C"/>
    <w:rsid w:val="00CA0C6F"/>
    <w:rsid w:val="00CA100F"/>
    <w:rsid w:val="00CA160C"/>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831"/>
    <w:rsid w:val="00CB192D"/>
    <w:rsid w:val="00CB20EE"/>
    <w:rsid w:val="00CB24EA"/>
    <w:rsid w:val="00CB39A9"/>
    <w:rsid w:val="00CB4540"/>
    <w:rsid w:val="00CB474B"/>
    <w:rsid w:val="00CB6926"/>
    <w:rsid w:val="00CB724B"/>
    <w:rsid w:val="00CC05BA"/>
    <w:rsid w:val="00CC325B"/>
    <w:rsid w:val="00CC365E"/>
    <w:rsid w:val="00CC37C9"/>
    <w:rsid w:val="00CC3A58"/>
    <w:rsid w:val="00CC4A80"/>
    <w:rsid w:val="00CC6199"/>
    <w:rsid w:val="00CC7AED"/>
    <w:rsid w:val="00CD0001"/>
    <w:rsid w:val="00CD0243"/>
    <w:rsid w:val="00CD0E61"/>
    <w:rsid w:val="00CD1663"/>
    <w:rsid w:val="00CD1914"/>
    <w:rsid w:val="00CD1CFE"/>
    <w:rsid w:val="00CD3B77"/>
    <w:rsid w:val="00CD3E58"/>
    <w:rsid w:val="00CD4A61"/>
    <w:rsid w:val="00CD4A69"/>
    <w:rsid w:val="00CD4B8C"/>
    <w:rsid w:val="00CD4C7B"/>
    <w:rsid w:val="00CD52F5"/>
    <w:rsid w:val="00CD53B1"/>
    <w:rsid w:val="00CD585A"/>
    <w:rsid w:val="00CD6310"/>
    <w:rsid w:val="00CD6435"/>
    <w:rsid w:val="00CD7379"/>
    <w:rsid w:val="00CD7823"/>
    <w:rsid w:val="00CD794B"/>
    <w:rsid w:val="00CE054B"/>
    <w:rsid w:val="00CE1635"/>
    <w:rsid w:val="00CE2AC0"/>
    <w:rsid w:val="00CE31FE"/>
    <w:rsid w:val="00CE3213"/>
    <w:rsid w:val="00CE3BD1"/>
    <w:rsid w:val="00CE3E5A"/>
    <w:rsid w:val="00CE4197"/>
    <w:rsid w:val="00CE41BF"/>
    <w:rsid w:val="00CE476C"/>
    <w:rsid w:val="00CE4AD0"/>
    <w:rsid w:val="00CE4B6F"/>
    <w:rsid w:val="00CE7802"/>
    <w:rsid w:val="00CF07F5"/>
    <w:rsid w:val="00CF0807"/>
    <w:rsid w:val="00CF2C9F"/>
    <w:rsid w:val="00CF56CD"/>
    <w:rsid w:val="00CF5B76"/>
    <w:rsid w:val="00CF6D74"/>
    <w:rsid w:val="00CF717F"/>
    <w:rsid w:val="00CF7583"/>
    <w:rsid w:val="00CF77AE"/>
    <w:rsid w:val="00D00174"/>
    <w:rsid w:val="00D022F2"/>
    <w:rsid w:val="00D04103"/>
    <w:rsid w:val="00D048E7"/>
    <w:rsid w:val="00D05C9E"/>
    <w:rsid w:val="00D12EE1"/>
    <w:rsid w:val="00D133BA"/>
    <w:rsid w:val="00D13AB6"/>
    <w:rsid w:val="00D13B94"/>
    <w:rsid w:val="00D14231"/>
    <w:rsid w:val="00D144D3"/>
    <w:rsid w:val="00D15857"/>
    <w:rsid w:val="00D159C3"/>
    <w:rsid w:val="00D15AEB"/>
    <w:rsid w:val="00D16F35"/>
    <w:rsid w:val="00D17153"/>
    <w:rsid w:val="00D17C95"/>
    <w:rsid w:val="00D20104"/>
    <w:rsid w:val="00D205C5"/>
    <w:rsid w:val="00D20E7D"/>
    <w:rsid w:val="00D21142"/>
    <w:rsid w:val="00D21C67"/>
    <w:rsid w:val="00D21C72"/>
    <w:rsid w:val="00D22430"/>
    <w:rsid w:val="00D23786"/>
    <w:rsid w:val="00D241BA"/>
    <w:rsid w:val="00D241C8"/>
    <w:rsid w:val="00D244FC"/>
    <w:rsid w:val="00D25079"/>
    <w:rsid w:val="00D26988"/>
    <w:rsid w:val="00D26AA2"/>
    <w:rsid w:val="00D27159"/>
    <w:rsid w:val="00D27E3D"/>
    <w:rsid w:val="00D31342"/>
    <w:rsid w:val="00D3258F"/>
    <w:rsid w:val="00D33118"/>
    <w:rsid w:val="00D34B1E"/>
    <w:rsid w:val="00D34BF8"/>
    <w:rsid w:val="00D35CBF"/>
    <w:rsid w:val="00D3619E"/>
    <w:rsid w:val="00D36876"/>
    <w:rsid w:val="00D3723B"/>
    <w:rsid w:val="00D402F5"/>
    <w:rsid w:val="00D41585"/>
    <w:rsid w:val="00D41F54"/>
    <w:rsid w:val="00D42844"/>
    <w:rsid w:val="00D42923"/>
    <w:rsid w:val="00D43109"/>
    <w:rsid w:val="00D43312"/>
    <w:rsid w:val="00D44328"/>
    <w:rsid w:val="00D450E9"/>
    <w:rsid w:val="00D45BDE"/>
    <w:rsid w:val="00D462B7"/>
    <w:rsid w:val="00D46401"/>
    <w:rsid w:val="00D46553"/>
    <w:rsid w:val="00D46599"/>
    <w:rsid w:val="00D46F22"/>
    <w:rsid w:val="00D472C3"/>
    <w:rsid w:val="00D4743D"/>
    <w:rsid w:val="00D50F9B"/>
    <w:rsid w:val="00D50FAB"/>
    <w:rsid w:val="00D5173C"/>
    <w:rsid w:val="00D52268"/>
    <w:rsid w:val="00D52B57"/>
    <w:rsid w:val="00D5397F"/>
    <w:rsid w:val="00D54836"/>
    <w:rsid w:val="00D548D7"/>
    <w:rsid w:val="00D54EF9"/>
    <w:rsid w:val="00D57A47"/>
    <w:rsid w:val="00D57B51"/>
    <w:rsid w:val="00D57E00"/>
    <w:rsid w:val="00D61B6D"/>
    <w:rsid w:val="00D61F7E"/>
    <w:rsid w:val="00D62541"/>
    <w:rsid w:val="00D62E82"/>
    <w:rsid w:val="00D63BB4"/>
    <w:rsid w:val="00D64AA7"/>
    <w:rsid w:val="00D64B2D"/>
    <w:rsid w:val="00D652B8"/>
    <w:rsid w:val="00D66F34"/>
    <w:rsid w:val="00D675CB"/>
    <w:rsid w:val="00D679C7"/>
    <w:rsid w:val="00D72BE7"/>
    <w:rsid w:val="00D7323E"/>
    <w:rsid w:val="00D738D6"/>
    <w:rsid w:val="00D73D5E"/>
    <w:rsid w:val="00D73EBA"/>
    <w:rsid w:val="00D742F4"/>
    <w:rsid w:val="00D7510F"/>
    <w:rsid w:val="00D75638"/>
    <w:rsid w:val="00D761D3"/>
    <w:rsid w:val="00D770E3"/>
    <w:rsid w:val="00D7787D"/>
    <w:rsid w:val="00D80795"/>
    <w:rsid w:val="00D80F5E"/>
    <w:rsid w:val="00D840F9"/>
    <w:rsid w:val="00D842AB"/>
    <w:rsid w:val="00D8515E"/>
    <w:rsid w:val="00D8677C"/>
    <w:rsid w:val="00D8694E"/>
    <w:rsid w:val="00D870B2"/>
    <w:rsid w:val="00D8720C"/>
    <w:rsid w:val="00D87697"/>
    <w:rsid w:val="00D87712"/>
    <w:rsid w:val="00D87A08"/>
    <w:rsid w:val="00D87E00"/>
    <w:rsid w:val="00D9044B"/>
    <w:rsid w:val="00D9047E"/>
    <w:rsid w:val="00D90EF4"/>
    <w:rsid w:val="00D9134D"/>
    <w:rsid w:val="00D913E5"/>
    <w:rsid w:val="00D91489"/>
    <w:rsid w:val="00D918AB"/>
    <w:rsid w:val="00D91BCA"/>
    <w:rsid w:val="00D92353"/>
    <w:rsid w:val="00D95AF8"/>
    <w:rsid w:val="00D95F4A"/>
    <w:rsid w:val="00D96007"/>
    <w:rsid w:val="00D964F4"/>
    <w:rsid w:val="00D96D11"/>
    <w:rsid w:val="00D97F7F"/>
    <w:rsid w:val="00DA0270"/>
    <w:rsid w:val="00DA046B"/>
    <w:rsid w:val="00DA056E"/>
    <w:rsid w:val="00DA0867"/>
    <w:rsid w:val="00DA14FB"/>
    <w:rsid w:val="00DA1584"/>
    <w:rsid w:val="00DA1E58"/>
    <w:rsid w:val="00DA2930"/>
    <w:rsid w:val="00DA3836"/>
    <w:rsid w:val="00DA4396"/>
    <w:rsid w:val="00DA4533"/>
    <w:rsid w:val="00DA4937"/>
    <w:rsid w:val="00DA5616"/>
    <w:rsid w:val="00DA5B59"/>
    <w:rsid w:val="00DA5CBB"/>
    <w:rsid w:val="00DA5F98"/>
    <w:rsid w:val="00DA6ED3"/>
    <w:rsid w:val="00DA7449"/>
    <w:rsid w:val="00DA7A03"/>
    <w:rsid w:val="00DA7C02"/>
    <w:rsid w:val="00DA7EE2"/>
    <w:rsid w:val="00DB033E"/>
    <w:rsid w:val="00DB1818"/>
    <w:rsid w:val="00DB18A0"/>
    <w:rsid w:val="00DB276F"/>
    <w:rsid w:val="00DB2B5D"/>
    <w:rsid w:val="00DB4271"/>
    <w:rsid w:val="00DB4BA8"/>
    <w:rsid w:val="00DB5E62"/>
    <w:rsid w:val="00DB6E8D"/>
    <w:rsid w:val="00DB72F8"/>
    <w:rsid w:val="00DC0751"/>
    <w:rsid w:val="00DC0F24"/>
    <w:rsid w:val="00DC133A"/>
    <w:rsid w:val="00DC17FD"/>
    <w:rsid w:val="00DC22F3"/>
    <w:rsid w:val="00DC309B"/>
    <w:rsid w:val="00DC3FE0"/>
    <w:rsid w:val="00DC41E9"/>
    <w:rsid w:val="00DC4DA2"/>
    <w:rsid w:val="00DC4E2C"/>
    <w:rsid w:val="00DC50B4"/>
    <w:rsid w:val="00DC5F65"/>
    <w:rsid w:val="00DC65C4"/>
    <w:rsid w:val="00DC6B88"/>
    <w:rsid w:val="00DC7854"/>
    <w:rsid w:val="00DD02A5"/>
    <w:rsid w:val="00DD06F0"/>
    <w:rsid w:val="00DD102D"/>
    <w:rsid w:val="00DD1C6B"/>
    <w:rsid w:val="00DD2F5C"/>
    <w:rsid w:val="00DD2FC1"/>
    <w:rsid w:val="00DD43BA"/>
    <w:rsid w:val="00DD5515"/>
    <w:rsid w:val="00DD6968"/>
    <w:rsid w:val="00DD70FA"/>
    <w:rsid w:val="00DD722F"/>
    <w:rsid w:val="00DE0980"/>
    <w:rsid w:val="00DE0D91"/>
    <w:rsid w:val="00DE1529"/>
    <w:rsid w:val="00DE1695"/>
    <w:rsid w:val="00DE17D1"/>
    <w:rsid w:val="00DE2D2A"/>
    <w:rsid w:val="00DE2DEE"/>
    <w:rsid w:val="00DE44B0"/>
    <w:rsid w:val="00DE4A98"/>
    <w:rsid w:val="00DE4B8E"/>
    <w:rsid w:val="00DE4E13"/>
    <w:rsid w:val="00DE56A5"/>
    <w:rsid w:val="00DE6165"/>
    <w:rsid w:val="00DF08B7"/>
    <w:rsid w:val="00DF0AFA"/>
    <w:rsid w:val="00DF0F60"/>
    <w:rsid w:val="00DF1CF4"/>
    <w:rsid w:val="00DF23B6"/>
    <w:rsid w:val="00DF2549"/>
    <w:rsid w:val="00DF25A8"/>
    <w:rsid w:val="00DF2B7B"/>
    <w:rsid w:val="00DF4786"/>
    <w:rsid w:val="00DF5B0C"/>
    <w:rsid w:val="00DF72FF"/>
    <w:rsid w:val="00E02F6A"/>
    <w:rsid w:val="00E03198"/>
    <w:rsid w:val="00E03A46"/>
    <w:rsid w:val="00E03F18"/>
    <w:rsid w:val="00E040FD"/>
    <w:rsid w:val="00E0415B"/>
    <w:rsid w:val="00E04BF3"/>
    <w:rsid w:val="00E05817"/>
    <w:rsid w:val="00E05969"/>
    <w:rsid w:val="00E06135"/>
    <w:rsid w:val="00E062E3"/>
    <w:rsid w:val="00E074C7"/>
    <w:rsid w:val="00E07A80"/>
    <w:rsid w:val="00E113C0"/>
    <w:rsid w:val="00E11553"/>
    <w:rsid w:val="00E1289F"/>
    <w:rsid w:val="00E13217"/>
    <w:rsid w:val="00E1324F"/>
    <w:rsid w:val="00E13667"/>
    <w:rsid w:val="00E157BC"/>
    <w:rsid w:val="00E16E40"/>
    <w:rsid w:val="00E17628"/>
    <w:rsid w:val="00E1766C"/>
    <w:rsid w:val="00E21300"/>
    <w:rsid w:val="00E222C2"/>
    <w:rsid w:val="00E22AF6"/>
    <w:rsid w:val="00E22B78"/>
    <w:rsid w:val="00E23136"/>
    <w:rsid w:val="00E23537"/>
    <w:rsid w:val="00E23EC4"/>
    <w:rsid w:val="00E24AF7"/>
    <w:rsid w:val="00E25BEF"/>
    <w:rsid w:val="00E25C19"/>
    <w:rsid w:val="00E26921"/>
    <w:rsid w:val="00E26F9D"/>
    <w:rsid w:val="00E27929"/>
    <w:rsid w:val="00E2799B"/>
    <w:rsid w:val="00E27E3A"/>
    <w:rsid w:val="00E27ECB"/>
    <w:rsid w:val="00E3041C"/>
    <w:rsid w:val="00E307FC"/>
    <w:rsid w:val="00E30B6E"/>
    <w:rsid w:val="00E31309"/>
    <w:rsid w:val="00E313B9"/>
    <w:rsid w:val="00E31932"/>
    <w:rsid w:val="00E31E89"/>
    <w:rsid w:val="00E32AAC"/>
    <w:rsid w:val="00E33147"/>
    <w:rsid w:val="00E34168"/>
    <w:rsid w:val="00E35793"/>
    <w:rsid w:val="00E35887"/>
    <w:rsid w:val="00E35BA5"/>
    <w:rsid w:val="00E36154"/>
    <w:rsid w:val="00E36407"/>
    <w:rsid w:val="00E4026E"/>
    <w:rsid w:val="00E40E41"/>
    <w:rsid w:val="00E41E67"/>
    <w:rsid w:val="00E4257D"/>
    <w:rsid w:val="00E42D93"/>
    <w:rsid w:val="00E446BC"/>
    <w:rsid w:val="00E446E6"/>
    <w:rsid w:val="00E448A1"/>
    <w:rsid w:val="00E44B83"/>
    <w:rsid w:val="00E44E56"/>
    <w:rsid w:val="00E45A2E"/>
    <w:rsid w:val="00E460B4"/>
    <w:rsid w:val="00E4673B"/>
    <w:rsid w:val="00E50281"/>
    <w:rsid w:val="00E50ADB"/>
    <w:rsid w:val="00E50F6F"/>
    <w:rsid w:val="00E5137D"/>
    <w:rsid w:val="00E51A92"/>
    <w:rsid w:val="00E51DC4"/>
    <w:rsid w:val="00E539D7"/>
    <w:rsid w:val="00E5423C"/>
    <w:rsid w:val="00E54361"/>
    <w:rsid w:val="00E546AB"/>
    <w:rsid w:val="00E54E03"/>
    <w:rsid w:val="00E554B0"/>
    <w:rsid w:val="00E55F83"/>
    <w:rsid w:val="00E5615F"/>
    <w:rsid w:val="00E56EEF"/>
    <w:rsid w:val="00E57387"/>
    <w:rsid w:val="00E57680"/>
    <w:rsid w:val="00E608B7"/>
    <w:rsid w:val="00E60CAF"/>
    <w:rsid w:val="00E61B39"/>
    <w:rsid w:val="00E624C1"/>
    <w:rsid w:val="00E62835"/>
    <w:rsid w:val="00E633DC"/>
    <w:rsid w:val="00E638DB"/>
    <w:rsid w:val="00E64523"/>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6C87"/>
    <w:rsid w:val="00E77645"/>
    <w:rsid w:val="00E77A21"/>
    <w:rsid w:val="00E77AE3"/>
    <w:rsid w:val="00E77E21"/>
    <w:rsid w:val="00E80AC8"/>
    <w:rsid w:val="00E80EB2"/>
    <w:rsid w:val="00E810BF"/>
    <w:rsid w:val="00E8207E"/>
    <w:rsid w:val="00E82646"/>
    <w:rsid w:val="00E82CEF"/>
    <w:rsid w:val="00E832BB"/>
    <w:rsid w:val="00E83451"/>
    <w:rsid w:val="00E83697"/>
    <w:rsid w:val="00E83810"/>
    <w:rsid w:val="00E83B8C"/>
    <w:rsid w:val="00E854D4"/>
    <w:rsid w:val="00E85899"/>
    <w:rsid w:val="00E858CD"/>
    <w:rsid w:val="00E86F18"/>
    <w:rsid w:val="00E870A0"/>
    <w:rsid w:val="00E872F2"/>
    <w:rsid w:val="00E90CA6"/>
    <w:rsid w:val="00E911AC"/>
    <w:rsid w:val="00E91294"/>
    <w:rsid w:val="00E912E8"/>
    <w:rsid w:val="00E91487"/>
    <w:rsid w:val="00E91DDC"/>
    <w:rsid w:val="00E925C9"/>
    <w:rsid w:val="00E93038"/>
    <w:rsid w:val="00E934E3"/>
    <w:rsid w:val="00E9444B"/>
    <w:rsid w:val="00E94534"/>
    <w:rsid w:val="00E94C85"/>
    <w:rsid w:val="00E94CF6"/>
    <w:rsid w:val="00E95111"/>
    <w:rsid w:val="00E9548F"/>
    <w:rsid w:val="00E966F3"/>
    <w:rsid w:val="00EA0AAF"/>
    <w:rsid w:val="00EA1DC3"/>
    <w:rsid w:val="00EA1ED6"/>
    <w:rsid w:val="00EA20F0"/>
    <w:rsid w:val="00EA26EF"/>
    <w:rsid w:val="00EA3665"/>
    <w:rsid w:val="00EA3A61"/>
    <w:rsid w:val="00EA3B22"/>
    <w:rsid w:val="00EA4092"/>
    <w:rsid w:val="00EA497A"/>
    <w:rsid w:val="00EA5174"/>
    <w:rsid w:val="00EA52F4"/>
    <w:rsid w:val="00EA6B0F"/>
    <w:rsid w:val="00EA6CB4"/>
    <w:rsid w:val="00EA6E76"/>
    <w:rsid w:val="00EA78C8"/>
    <w:rsid w:val="00EA7AE2"/>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634B"/>
    <w:rsid w:val="00EB7699"/>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086"/>
    <w:rsid w:val="00ED00F2"/>
    <w:rsid w:val="00ED08A6"/>
    <w:rsid w:val="00ED09BF"/>
    <w:rsid w:val="00ED0AAB"/>
    <w:rsid w:val="00ED1175"/>
    <w:rsid w:val="00ED128B"/>
    <w:rsid w:val="00ED1D93"/>
    <w:rsid w:val="00ED20B1"/>
    <w:rsid w:val="00ED28F3"/>
    <w:rsid w:val="00ED311B"/>
    <w:rsid w:val="00ED3FBE"/>
    <w:rsid w:val="00ED43A5"/>
    <w:rsid w:val="00ED49AA"/>
    <w:rsid w:val="00ED4A65"/>
    <w:rsid w:val="00ED534A"/>
    <w:rsid w:val="00ED6D50"/>
    <w:rsid w:val="00EE145C"/>
    <w:rsid w:val="00EE1512"/>
    <w:rsid w:val="00EE1CC6"/>
    <w:rsid w:val="00EE217F"/>
    <w:rsid w:val="00EE2432"/>
    <w:rsid w:val="00EE24F5"/>
    <w:rsid w:val="00EE2ED1"/>
    <w:rsid w:val="00EE4120"/>
    <w:rsid w:val="00EE44AD"/>
    <w:rsid w:val="00EE4EBA"/>
    <w:rsid w:val="00EE5FEF"/>
    <w:rsid w:val="00EE7D61"/>
    <w:rsid w:val="00EF0074"/>
    <w:rsid w:val="00EF1A28"/>
    <w:rsid w:val="00EF1E0A"/>
    <w:rsid w:val="00EF267F"/>
    <w:rsid w:val="00EF2F1F"/>
    <w:rsid w:val="00EF3191"/>
    <w:rsid w:val="00EF46A7"/>
    <w:rsid w:val="00EF4E32"/>
    <w:rsid w:val="00EF51A0"/>
    <w:rsid w:val="00EF7BFB"/>
    <w:rsid w:val="00EF7EDE"/>
    <w:rsid w:val="00F00AB2"/>
    <w:rsid w:val="00F01010"/>
    <w:rsid w:val="00F01DB1"/>
    <w:rsid w:val="00F01E37"/>
    <w:rsid w:val="00F01E51"/>
    <w:rsid w:val="00F025A2"/>
    <w:rsid w:val="00F02A7B"/>
    <w:rsid w:val="00F02EB6"/>
    <w:rsid w:val="00F02F41"/>
    <w:rsid w:val="00F0385D"/>
    <w:rsid w:val="00F04797"/>
    <w:rsid w:val="00F04C08"/>
    <w:rsid w:val="00F04C45"/>
    <w:rsid w:val="00F05599"/>
    <w:rsid w:val="00F05D71"/>
    <w:rsid w:val="00F06F0B"/>
    <w:rsid w:val="00F07367"/>
    <w:rsid w:val="00F07388"/>
    <w:rsid w:val="00F07FD6"/>
    <w:rsid w:val="00F10EF9"/>
    <w:rsid w:val="00F11B50"/>
    <w:rsid w:val="00F11B53"/>
    <w:rsid w:val="00F11D6B"/>
    <w:rsid w:val="00F1266A"/>
    <w:rsid w:val="00F12B8B"/>
    <w:rsid w:val="00F13B1B"/>
    <w:rsid w:val="00F1695A"/>
    <w:rsid w:val="00F17066"/>
    <w:rsid w:val="00F2026E"/>
    <w:rsid w:val="00F209AA"/>
    <w:rsid w:val="00F20B49"/>
    <w:rsid w:val="00F20C7B"/>
    <w:rsid w:val="00F2210A"/>
    <w:rsid w:val="00F24069"/>
    <w:rsid w:val="00F24379"/>
    <w:rsid w:val="00F2560B"/>
    <w:rsid w:val="00F2595D"/>
    <w:rsid w:val="00F26A41"/>
    <w:rsid w:val="00F26CFA"/>
    <w:rsid w:val="00F26DA1"/>
    <w:rsid w:val="00F27083"/>
    <w:rsid w:val="00F2754C"/>
    <w:rsid w:val="00F27FB6"/>
    <w:rsid w:val="00F3056A"/>
    <w:rsid w:val="00F31951"/>
    <w:rsid w:val="00F31CC8"/>
    <w:rsid w:val="00F32173"/>
    <w:rsid w:val="00F3250E"/>
    <w:rsid w:val="00F326D6"/>
    <w:rsid w:val="00F32EE5"/>
    <w:rsid w:val="00F33237"/>
    <w:rsid w:val="00F337EC"/>
    <w:rsid w:val="00F3465E"/>
    <w:rsid w:val="00F34934"/>
    <w:rsid w:val="00F34BF6"/>
    <w:rsid w:val="00F36FB1"/>
    <w:rsid w:val="00F37743"/>
    <w:rsid w:val="00F40310"/>
    <w:rsid w:val="00F41313"/>
    <w:rsid w:val="00F4284D"/>
    <w:rsid w:val="00F42B86"/>
    <w:rsid w:val="00F42C9C"/>
    <w:rsid w:val="00F42DE5"/>
    <w:rsid w:val="00F42F5D"/>
    <w:rsid w:val="00F43CB8"/>
    <w:rsid w:val="00F449DD"/>
    <w:rsid w:val="00F44F03"/>
    <w:rsid w:val="00F44FCE"/>
    <w:rsid w:val="00F4537F"/>
    <w:rsid w:val="00F457D8"/>
    <w:rsid w:val="00F45921"/>
    <w:rsid w:val="00F45BF8"/>
    <w:rsid w:val="00F47078"/>
    <w:rsid w:val="00F470FC"/>
    <w:rsid w:val="00F47229"/>
    <w:rsid w:val="00F4731F"/>
    <w:rsid w:val="00F47826"/>
    <w:rsid w:val="00F503E6"/>
    <w:rsid w:val="00F515D2"/>
    <w:rsid w:val="00F5200A"/>
    <w:rsid w:val="00F52C6C"/>
    <w:rsid w:val="00F52DBE"/>
    <w:rsid w:val="00F53AAD"/>
    <w:rsid w:val="00F53CB3"/>
    <w:rsid w:val="00F5490A"/>
    <w:rsid w:val="00F54A3D"/>
    <w:rsid w:val="00F54F7D"/>
    <w:rsid w:val="00F54F9B"/>
    <w:rsid w:val="00F55054"/>
    <w:rsid w:val="00F55207"/>
    <w:rsid w:val="00F555DE"/>
    <w:rsid w:val="00F56336"/>
    <w:rsid w:val="00F56C30"/>
    <w:rsid w:val="00F578C5"/>
    <w:rsid w:val="00F57BF8"/>
    <w:rsid w:val="00F57BF9"/>
    <w:rsid w:val="00F617A4"/>
    <w:rsid w:val="00F62456"/>
    <w:rsid w:val="00F625C6"/>
    <w:rsid w:val="00F650FB"/>
    <w:rsid w:val="00F653B8"/>
    <w:rsid w:val="00F65A82"/>
    <w:rsid w:val="00F6654E"/>
    <w:rsid w:val="00F66E5B"/>
    <w:rsid w:val="00F67913"/>
    <w:rsid w:val="00F70563"/>
    <w:rsid w:val="00F705E6"/>
    <w:rsid w:val="00F71764"/>
    <w:rsid w:val="00F71B89"/>
    <w:rsid w:val="00F7353C"/>
    <w:rsid w:val="00F735B1"/>
    <w:rsid w:val="00F73602"/>
    <w:rsid w:val="00F73FAE"/>
    <w:rsid w:val="00F7574F"/>
    <w:rsid w:val="00F75B5F"/>
    <w:rsid w:val="00F75BC5"/>
    <w:rsid w:val="00F7601F"/>
    <w:rsid w:val="00F76050"/>
    <w:rsid w:val="00F760F6"/>
    <w:rsid w:val="00F76904"/>
    <w:rsid w:val="00F76F8F"/>
    <w:rsid w:val="00F76FB3"/>
    <w:rsid w:val="00F777E4"/>
    <w:rsid w:val="00F80C4B"/>
    <w:rsid w:val="00F80F72"/>
    <w:rsid w:val="00F81496"/>
    <w:rsid w:val="00F814D0"/>
    <w:rsid w:val="00F8151C"/>
    <w:rsid w:val="00F83135"/>
    <w:rsid w:val="00F83DE5"/>
    <w:rsid w:val="00F845FE"/>
    <w:rsid w:val="00F84AD1"/>
    <w:rsid w:val="00F84C6A"/>
    <w:rsid w:val="00F850F5"/>
    <w:rsid w:val="00F8529B"/>
    <w:rsid w:val="00F854FE"/>
    <w:rsid w:val="00F8570F"/>
    <w:rsid w:val="00F85731"/>
    <w:rsid w:val="00F8639A"/>
    <w:rsid w:val="00F86B9C"/>
    <w:rsid w:val="00F873F1"/>
    <w:rsid w:val="00F90592"/>
    <w:rsid w:val="00F905C6"/>
    <w:rsid w:val="00F90E03"/>
    <w:rsid w:val="00F922EB"/>
    <w:rsid w:val="00F926AC"/>
    <w:rsid w:val="00F937A5"/>
    <w:rsid w:val="00F941A4"/>
    <w:rsid w:val="00F94C99"/>
    <w:rsid w:val="00F94E88"/>
    <w:rsid w:val="00F96286"/>
    <w:rsid w:val="00F97925"/>
    <w:rsid w:val="00F97D6E"/>
    <w:rsid w:val="00F97E78"/>
    <w:rsid w:val="00FA0274"/>
    <w:rsid w:val="00FA0449"/>
    <w:rsid w:val="00FA0D44"/>
    <w:rsid w:val="00FA1266"/>
    <w:rsid w:val="00FA1C5C"/>
    <w:rsid w:val="00FA1E18"/>
    <w:rsid w:val="00FA2451"/>
    <w:rsid w:val="00FA26E2"/>
    <w:rsid w:val="00FA2EA8"/>
    <w:rsid w:val="00FA34EC"/>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6C3"/>
    <w:rsid w:val="00FB1ACE"/>
    <w:rsid w:val="00FB1EC7"/>
    <w:rsid w:val="00FB1F74"/>
    <w:rsid w:val="00FB1FDF"/>
    <w:rsid w:val="00FB21EF"/>
    <w:rsid w:val="00FB2B14"/>
    <w:rsid w:val="00FB3102"/>
    <w:rsid w:val="00FB3729"/>
    <w:rsid w:val="00FB4507"/>
    <w:rsid w:val="00FB46CA"/>
    <w:rsid w:val="00FB5972"/>
    <w:rsid w:val="00FB6463"/>
    <w:rsid w:val="00FB69F2"/>
    <w:rsid w:val="00FB78A7"/>
    <w:rsid w:val="00FC0B77"/>
    <w:rsid w:val="00FC1192"/>
    <w:rsid w:val="00FC2520"/>
    <w:rsid w:val="00FC347B"/>
    <w:rsid w:val="00FC40D3"/>
    <w:rsid w:val="00FC47B0"/>
    <w:rsid w:val="00FC5133"/>
    <w:rsid w:val="00FC568D"/>
    <w:rsid w:val="00FC584B"/>
    <w:rsid w:val="00FC75C1"/>
    <w:rsid w:val="00FC77D8"/>
    <w:rsid w:val="00FC78C1"/>
    <w:rsid w:val="00FC7CB6"/>
    <w:rsid w:val="00FC7E46"/>
    <w:rsid w:val="00FD03E5"/>
    <w:rsid w:val="00FD1258"/>
    <w:rsid w:val="00FD1FA7"/>
    <w:rsid w:val="00FD295E"/>
    <w:rsid w:val="00FD2CBF"/>
    <w:rsid w:val="00FD2EBD"/>
    <w:rsid w:val="00FD3426"/>
    <w:rsid w:val="00FD471E"/>
    <w:rsid w:val="00FD4E33"/>
    <w:rsid w:val="00FD4EDD"/>
    <w:rsid w:val="00FD60D6"/>
    <w:rsid w:val="00FD711D"/>
    <w:rsid w:val="00FD777E"/>
    <w:rsid w:val="00FD79D2"/>
    <w:rsid w:val="00FE0A3D"/>
    <w:rsid w:val="00FE0DB2"/>
    <w:rsid w:val="00FE0DB6"/>
    <w:rsid w:val="00FE23ED"/>
    <w:rsid w:val="00FE27FC"/>
    <w:rsid w:val="00FE3DE7"/>
    <w:rsid w:val="00FE3E59"/>
    <w:rsid w:val="00FE4670"/>
    <w:rsid w:val="00FE55FB"/>
    <w:rsid w:val="00FE5909"/>
    <w:rsid w:val="00FE67E7"/>
    <w:rsid w:val="00FE708A"/>
    <w:rsid w:val="00FF0507"/>
    <w:rsid w:val="00FF05DE"/>
    <w:rsid w:val="00FF0BC3"/>
    <w:rsid w:val="00FF1321"/>
    <w:rsid w:val="00FF246E"/>
    <w:rsid w:val="00FF3826"/>
    <w:rsid w:val="00FF3C83"/>
    <w:rsid w:val="00FF4802"/>
    <w:rsid w:val="00FF4FF4"/>
    <w:rsid w:val="00FF5002"/>
    <w:rsid w:val="00FF77D0"/>
    <w:rsid w:val="00FF79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84937FB"/>
  <w15:chartTrackingRefBased/>
  <w15:docId w15:val="{E76B0D5D-D666-426E-85AB-D845DE0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97F"/>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aliases w:val="TableGrid"/>
    <w:basedOn w:val="TableNormal"/>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uiPriority w:val="99"/>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F01E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1E51"/>
    <w:rPr>
      <w:rFonts w:ascii="Arial" w:hAnsi="Arial"/>
      <w:sz w:val="24"/>
      <w:lang w:val="en-GB"/>
    </w:rPr>
  </w:style>
  <w:style w:type="paragraph" w:styleId="Caption">
    <w:name w:val="caption"/>
    <w:basedOn w:val="Normal"/>
    <w:next w:val="Normal"/>
    <w:unhideWhenUsed/>
    <w:qFormat/>
    <w:rsid w:val="006F48CF"/>
    <w:pPr>
      <w:spacing w:after="200"/>
    </w:pPr>
    <w:rPr>
      <w:i/>
      <w:iCs/>
      <w:color w:val="44546A" w:themeColor="text2"/>
      <w:sz w:val="18"/>
      <w:szCs w:val="18"/>
    </w:rPr>
  </w:style>
  <w:style w:type="character" w:customStyle="1" w:styleId="Heading2Char">
    <w:name w:val="Heading 2 Char"/>
    <w:basedOn w:val="DefaultParagraphFont"/>
    <w:link w:val="Heading2"/>
    <w:rsid w:val="003C7D85"/>
    <w:rPr>
      <w:rFonts w:ascii="Arial" w:hAnsi="Arial"/>
      <w:sz w:val="32"/>
      <w:lang w:val="en-GB"/>
    </w:rPr>
  </w:style>
  <w:style w:type="paragraph" w:customStyle="1" w:styleId="References">
    <w:name w:val="References"/>
    <w:basedOn w:val="Normal"/>
    <w:rsid w:val="00F26A41"/>
    <w:pPr>
      <w:numPr>
        <w:numId w:val="6"/>
      </w:numPr>
      <w:autoSpaceDE w:val="0"/>
      <w:autoSpaceDN w:val="0"/>
      <w:snapToGrid w:val="0"/>
      <w:spacing w:after="60"/>
      <w:jc w:val="both"/>
    </w:pPr>
    <w:rPr>
      <w:rFonts w:eastAsia="SimSun"/>
      <w:szCs w:val="16"/>
      <w:lang w:val="en-US"/>
    </w:rPr>
  </w:style>
  <w:style w:type="character" w:customStyle="1" w:styleId="B1Char">
    <w:name w:val="B1 Char"/>
    <w:link w:val="B1"/>
    <w:qFormat/>
    <w:rsid w:val="00572D65"/>
    <w:rPr>
      <w:lang w:val="en-GB"/>
    </w:rPr>
  </w:style>
  <w:style w:type="character" w:customStyle="1" w:styleId="B2Char">
    <w:name w:val="B2 Char"/>
    <w:link w:val="B2"/>
    <w:qFormat/>
    <w:rsid w:val="005B2906"/>
    <w:rPr>
      <w:lang w:val="en-GB"/>
    </w:rPr>
  </w:style>
  <w:style w:type="character" w:customStyle="1" w:styleId="Heading1Char">
    <w:name w:val="Heading 1 Char"/>
    <w:basedOn w:val="DefaultParagraphFont"/>
    <w:link w:val="Heading1"/>
    <w:rsid w:val="00B33313"/>
    <w:rPr>
      <w:rFonts w:ascii="Arial" w:hAnsi="Arial"/>
      <w:sz w:val="36"/>
      <w:lang w:val="en-GB"/>
    </w:rPr>
  </w:style>
  <w:style w:type="paragraph" w:styleId="NormalWeb">
    <w:name w:val="Normal (Web)"/>
    <w:basedOn w:val="Normal"/>
    <w:uiPriority w:val="99"/>
    <w:unhideWhenUsed/>
    <w:rsid w:val="00086758"/>
    <w:pPr>
      <w:spacing w:before="100" w:beforeAutospacing="1" w:after="100" w:afterAutospacing="1"/>
    </w:pPr>
    <w:rPr>
      <w:rFonts w:eastAsia="Times New Roman"/>
      <w:sz w:val="24"/>
      <w:szCs w:val="24"/>
      <w:lang w:val="en-US"/>
    </w:rPr>
  </w:style>
  <w:style w:type="paragraph" w:styleId="BodyText">
    <w:name w:val="Body Text"/>
    <w:basedOn w:val="Normal"/>
    <w:link w:val="BodyTextChar"/>
    <w:qFormat/>
    <w:rsid w:val="00730E54"/>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qFormat/>
    <w:rsid w:val="00730E54"/>
    <w:rPr>
      <w:rFonts w:ascii="Arial" w:eastAsia="Times New Roman" w:hAnsi="Arial"/>
      <w:lang w:val="en-GB" w:eastAsia="zh-CN"/>
    </w:rPr>
  </w:style>
  <w:style w:type="character" w:customStyle="1" w:styleId="fontstyle01">
    <w:name w:val="fontstyle01"/>
    <w:basedOn w:val="DefaultParagraphFont"/>
    <w:rsid w:val="008C685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8C685F"/>
    <w:rPr>
      <w:rFonts w:ascii="TimesNewRomanPS-ItalicMT" w:hAnsi="TimesNewRomanPS-ItalicMT" w:hint="default"/>
      <w:b w:val="0"/>
      <w:bCs w:val="0"/>
      <w:i/>
      <w:iCs/>
      <w:color w:val="000000"/>
      <w:sz w:val="20"/>
      <w:szCs w:val="20"/>
    </w:rPr>
  </w:style>
  <w:style w:type="character" w:styleId="Emphasis">
    <w:name w:val="Emphasis"/>
    <w:basedOn w:val="DefaultParagraphFont"/>
    <w:uiPriority w:val="20"/>
    <w:qFormat/>
    <w:rsid w:val="002166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82646364">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924456094">
      <w:bodyDiv w:val="1"/>
      <w:marLeft w:val="0"/>
      <w:marRight w:val="0"/>
      <w:marTop w:val="0"/>
      <w:marBottom w:val="0"/>
      <w:divBdr>
        <w:top w:val="none" w:sz="0" w:space="0" w:color="auto"/>
        <w:left w:val="none" w:sz="0" w:space="0" w:color="auto"/>
        <w:bottom w:val="none" w:sz="0" w:space="0" w:color="auto"/>
        <w:right w:val="none" w:sz="0" w:space="0" w:color="auto"/>
      </w:divBdr>
    </w:div>
    <w:div w:id="1354767905">
      <w:bodyDiv w:val="1"/>
      <w:marLeft w:val="0"/>
      <w:marRight w:val="0"/>
      <w:marTop w:val="0"/>
      <w:marBottom w:val="0"/>
      <w:divBdr>
        <w:top w:val="none" w:sz="0" w:space="0" w:color="auto"/>
        <w:left w:val="none" w:sz="0" w:space="0" w:color="auto"/>
        <w:bottom w:val="none" w:sz="0" w:space="0" w:color="auto"/>
        <w:right w:val="none" w:sz="0" w:space="0" w:color="auto"/>
      </w:divBdr>
    </w:div>
    <w:div w:id="1439251346">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48331647">
      <w:bodyDiv w:val="1"/>
      <w:marLeft w:val="0"/>
      <w:marRight w:val="0"/>
      <w:marTop w:val="0"/>
      <w:marBottom w:val="0"/>
      <w:divBdr>
        <w:top w:val="none" w:sz="0" w:space="0" w:color="auto"/>
        <w:left w:val="none" w:sz="0" w:space="0" w:color="auto"/>
        <w:bottom w:val="none" w:sz="0" w:space="0" w:color="auto"/>
        <w:right w:val="none" w:sz="0" w:space="0" w:color="auto"/>
      </w:divBdr>
    </w:div>
    <w:div w:id="212356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7E0D7-D0B8-4042-B548-3B79530490CF}">
  <ds:schemaRefs>
    <ds:schemaRef ds:uri="http://schemas.microsoft.com/sharepoint/v3/contenttype/forms"/>
  </ds:schemaRefs>
</ds:datastoreItem>
</file>

<file path=customXml/itemProps2.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3.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376</TotalTime>
  <Pages>8</Pages>
  <Words>2978</Words>
  <Characters>16542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30</cp:revision>
  <dcterms:created xsi:type="dcterms:W3CDTF">2023-09-27T21:56:00Z</dcterms:created>
  <dcterms:modified xsi:type="dcterms:W3CDTF">2023-11-02T18:59:00Z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